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ABF774" w14:textId="3FB32713" w:rsidR="00440A4A" w:rsidRPr="00F6302A" w:rsidRDefault="00440A4A" w:rsidP="00440A4A">
      <w:pPr>
        <w:pStyle w:val="3GPPHeader"/>
        <w:spacing w:after="60"/>
        <w:rPr>
          <w:sz w:val="32"/>
          <w:szCs w:val="32"/>
          <w:highlight w:val="yellow"/>
          <w:lang w:val="en-US"/>
        </w:rPr>
      </w:pPr>
      <w:r w:rsidRPr="00F6302A">
        <w:rPr>
          <w:lang w:val="en-US"/>
        </w:rPr>
        <w:t>3GPP TSG-RAN WG</w:t>
      </w:r>
      <w:r>
        <w:rPr>
          <w:lang w:val="en-US"/>
        </w:rPr>
        <w:t>2</w:t>
      </w:r>
      <w:r w:rsidRPr="00F6302A">
        <w:rPr>
          <w:lang w:val="en-US"/>
        </w:rPr>
        <w:t xml:space="preserve"> #</w:t>
      </w:r>
      <w:r>
        <w:rPr>
          <w:lang w:val="en-US"/>
        </w:rPr>
        <w:t>86</w:t>
      </w:r>
      <w:r w:rsidRPr="00F6302A">
        <w:rPr>
          <w:lang w:val="en-US"/>
        </w:rPr>
        <w:tab/>
      </w:r>
      <w:r w:rsidRPr="00F6302A">
        <w:rPr>
          <w:sz w:val="32"/>
          <w:szCs w:val="32"/>
          <w:lang w:val="en-US"/>
        </w:rPr>
        <w:t>R2-</w:t>
      </w:r>
      <w:r>
        <w:rPr>
          <w:sz w:val="32"/>
          <w:szCs w:val="32"/>
          <w:lang w:val="en-US"/>
        </w:rPr>
        <w:t>14</w:t>
      </w:r>
      <w:r w:rsidR="00FD1365">
        <w:rPr>
          <w:sz w:val="32"/>
          <w:szCs w:val="32"/>
          <w:lang w:val="en-US"/>
        </w:rPr>
        <w:t>2705</w:t>
      </w:r>
    </w:p>
    <w:p w14:paraId="1A49BE98" w14:textId="28411E2B" w:rsidR="00E90E49" w:rsidRDefault="00440A4A" w:rsidP="00440A4A">
      <w:pPr>
        <w:pStyle w:val="3GPPHeader"/>
        <w:rPr>
          <w:lang w:val="en-US"/>
        </w:rPr>
      </w:pPr>
      <w:r>
        <w:rPr>
          <w:lang w:val="en-US"/>
        </w:rPr>
        <w:t>Seoul, Republic of Korea,</w:t>
      </w:r>
      <w:r w:rsidRPr="00293D26">
        <w:rPr>
          <w:lang w:val="en-US"/>
        </w:rPr>
        <w:t xml:space="preserve"> </w:t>
      </w:r>
      <w:r>
        <w:rPr>
          <w:lang w:val="en-US"/>
        </w:rPr>
        <w:t>19</w:t>
      </w:r>
      <w:r w:rsidRPr="00943CCE">
        <w:rPr>
          <w:vertAlign w:val="superscript"/>
          <w:lang w:val="en-US"/>
        </w:rPr>
        <w:t>th</w:t>
      </w:r>
      <w:r>
        <w:rPr>
          <w:lang w:val="en-US"/>
        </w:rPr>
        <w:t xml:space="preserve"> May</w:t>
      </w:r>
      <w:r w:rsidRPr="00293D26">
        <w:rPr>
          <w:lang w:val="en-US"/>
        </w:rPr>
        <w:t xml:space="preserve"> – </w:t>
      </w:r>
      <w:r>
        <w:rPr>
          <w:lang w:val="en-US"/>
        </w:rPr>
        <w:t>23</w:t>
      </w:r>
      <w:r w:rsidRPr="00943CCE">
        <w:rPr>
          <w:vertAlign w:val="superscript"/>
          <w:lang w:val="en-US"/>
        </w:rPr>
        <w:t>rd</w:t>
      </w:r>
      <w:r>
        <w:rPr>
          <w:lang w:val="en-US"/>
        </w:rPr>
        <w:t xml:space="preserve"> May</w:t>
      </w:r>
      <w:r w:rsidRPr="00293D26">
        <w:rPr>
          <w:lang w:val="en-US"/>
        </w:rPr>
        <w:t xml:space="preserve"> 20</w:t>
      </w:r>
      <w:r>
        <w:rPr>
          <w:lang w:val="en-US"/>
        </w:rPr>
        <w:t>14</w:t>
      </w:r>
    </w:p>
    <w:p w14:paraId="652F2937" w14:textId="77777777" w:rsidR="00440A4A" w:rsidRPr="00F6302A" w:rsidRDefault="00440A4A" w:rsidP="00440A4A">
      <w:pPr>
        <w:pStyle w:val="3GPPHeader"/>
        <w:rPr>
          <w:lang w:val="en-US"/>
        </w:rPr>
      </w:pPr>
    </w:p>
    <w:p w14:paraId="1A49BE99" w14:textId="223C9089" w:rsidR="00E90E49" w:rsidRPr="00D66155" w:rsidRDefault="00E90E49" w:rsidP="00311702">
      <w:pPr>
        <w:pStyle w:val="3GPPHeader"/>
        <w:rPr>
          <w:sz w:val="22"/>
          <w:szCs w:val="22"/>
          <w:lang w:val="en-US"/>
        </w:rPr>
      </w:pPr>
      <w:r w:rsidRPr="00D66155">
        <w:rPr>
          <w:sz w:val="22"/>
          <w:szCs w:val="22"/>
          <w:lang w:val="en-US"/>
        </w:rPr>
        <w:t>Agenda Item:</w:t>
      </w:r>
      <w:r w:rsidRPr="00D66155">
        <w:rPr>
          <w:sz w:val="22"/>
          <w:szCs w:val="22"/>
          <w:lang w:val="en-US"/>
        </w:rPr>
        <w:tab/>
      </w:r>
      <w:r w:rsidR="00FD1365">
        <w:rPr>
          <w:sz w:val="22"/>
          <w:szCs w:val="22"/>
          <w:lang w:val="en-US"/>
        </w:rPr>
        <w:t>10.1.2.1</w:t>
      </w:r>
    </w:p>
    <w:p w14:paraId="1A49BE9A"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9841F7">
        <w:rPr>
          <w:sz w:val="22"/>
          <w:szCs w:val="22"/>
          <w:lang w:val="en-US"/>
        </w:rPr>
        <w:t>Qualcomm</w:t>
      </w:r>
      <w:r w:rsidR="001776AB">
        <w:rPr>
          <w:sz w:val="22"/>
          <w:szCs w:val="22"/>
          <w:lang w:val="en-US"/>
        </w:rPr>
        <w:t xml:space="preserve"> Incorporated</w:t>
      </w:r>
    </w:p>
    <w:p w14:paraId="1A49BE9B" w14:textId="78C85AE0"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A77434">
        <w:rPr>
          <w:sz w:val="22"/>
          <w:szCs w:val="22"/>
          <w:lang w:val="en-US"/>
        </w:rPr>
        <w:t xml:space="preserve">UPH and Traffic Volume enhancements for </w:t>
      </w:r>
      <w:r w:rsidR="00440A4A">
        <w:rPr>
          <w:sz w:val="22"/>
          <w:szCs w:val="22"/>
          <w:lang w:val="en-US"/>
        </w:rPr>
        <w:t>(de-)</w:t>
      </w:r>
      <w:r w:rsidR="00E50BB2">
        <w:rPr>
          <w:sz w:val="22"/>
          <w:szCs w:val="22"/>
          <w:lang w:val="en-US"/>
        </w:rPr>
        <w:t xml:space="preserve">activation of </w:t>
      </w:r>
      <w:r w:rsidR="004167E0" w:rsidRPr="004167E0">
        <w:rPr>
          <w:sz w:val="22"/>
          <w:szCs w:val="22"/>
          <w:lang w:val="en-US"/>
        </w:rPr>
        <w:t>DC-HSUPA</w:t>
      </w:r>
    </w:p>
    <w:p w14:paraId="1A49BE9C"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1776AB">
        <w:rPr>
          <w:sz w:val="22"/>
          <w:szCs w:val="22"/>
          <w:lang w:val="en-US"/>
        </w:rPr>
        <w:t>Discussion</w:t>
      </w:r>
    </w:p>
    <w:p w14:paraId="1A49BE9D" w14:textId="77777777" w:rsidR="00E90E49" w:rsidRPr="00F6302A" w:rsidRDefault="000744A3" w:rsidP="00D558FE">
      <w:pPr>
        <w:pStyle w:val="Heading1"/>
        <w:numPr>
          <w:ilvl w:val="0"/>
          <w:numId w:val="0"/>
        </w:numPr>
        <w:pBdr>
          <w:top w:val="single" w:sz="12" w:space="0" w:color="auto"/>
        </w:pBdr>
        <w:rPr>
          <w:lang w:val="en-US"/>
        </w:rPr>
      </w:pPr>
      <w:r>
        <w:rPr>
          <w:lang w:val="en-US"/>
        </w:rPr>
        <w:t>1</w:t>
      </w:r>
      <w:r>
        <w:rPr>
          <w:lang w:val="en-US"/>
        </w:rPr>
        <w:tab/>
      </w:r>
      <w:r w:rsidR="00E90E49" w:rsidRPr="00F6302A">
        <w:rPr>
          <w:lang w:val="en-US"/>
        </w:rPr>
        <w:t>Introduction</w:t>
      </w:r>
    </w:p>
    <w:p w14:paraId="1A49BE9E" w14:textId="77777777" w:rsidR="00EA2CE5" w:rsidRPr="00176171" w:rsidRDefault="002011EF" w:rsidP="0027144F">
      <w:pPr>
        <w:pStyle w:val="BodyText"/>
      </w:pPr>
      <w:r>
        <w:t>During RAN</w:t>
      </w:r>
      <w:r w:rsidR="00EA2CE5">
        <w:t>#</w:t>
      </w:r>
      <w:r w:rsidR="00456244">
        <w:t>62</w:t>
      </w:r>
      <w:r w:rsidR="00EA2CE5">
        <w:t xml:space="preserve">, </w:t>
      </w:r>
      <w:r>
        <w:t xml:space="preserve">a Work Item on Further EUL enhancements was agreed. One of the objectives listed under the WID </w:t>
      </w:r>
      <w:r w:rsidR="009E440A">
        <w:fldChar w:fldCharType="begin"/>
      </w:r>
      <w:r w:rsidR="009E440A">
        <w:instrText xml:space="preserve"> REF _Ref377719135 \r </w:instrText>
      </w:r>
      <w:r w:rsidR="009E440A">
        <w:fldChar w:fldCharType="separate"/>
      </w:r>
      <w:r w:rsidR="009E440A">
        <w:t>[1]</w:t>
      </w:r>
      <w:r w:rsidR="009E440A">
        <w:fldChar w:fldCharType="end"/>
      </w:r>
      <w:r>
        <w:t xml:space="preserve"> is to introduce coverage improvements by means of enhancements to </w:t>
      </w:r>
      <w:r w:rsidR="00EF634E">
        <w:t>U</w:t>
      </w:r>
      <w:r w:rsidR="00417346">
        <w:t xml:space="preserve">plink </w:t>
      </w:r>
      <w:r w:rsidR="00EF634E">
        <w:t>P</w:t>
      </w:r>
      <w:r w:rsidR="00417346">
        <w:t xml:space="preserve">ower </w:t>
      </w:r>
      <w:r w:rsidR="00EF634E">
        <w:t>H</w:t>
      </w:r>
      <w:r w:rsidR="00417346">
        <w:t>eadroom (UPH)</w:t>
      </w:r>
      <w:r w:rsidR="00EF634E">
        <w:t xml:space="preserve"> measurements</w:t>
      </w:r>
      <w:r w:rsidR="005F7AB3">
        <w:t xml:space="preserve"> and TTI switching mechanism</w:t>
      </w:r>
      <w:r>
        <w:t>:-</w:t>
      </w:r>
    </w:p>
    <w:p w14:paraId="1A49BE9F" w14:textId="77777777" w:rsidR="002011EF" w:rsidRDefault="002011EF" w:rsidP="002011EF">
      <w:pPr>
        <w:pBdr>
          <w:top w:val="single" w:sz="4" w:space="1" w:color="auto"/>
          <w:left w:val="single" w:sz="4" w:space="4" w:color="auto"/>
          <w:bottom w:val="single" w:sz="4" w:space="1" w:color="auto"/>
          <w:right w:val="single" w:sz="4" w:space="4" w:color="auto"/>
        </w:pBdr>
        <w:spacing w:after="200" w:line="276" w:lineRule="auto"/>
      </w:pPr>
      <w:r>
        <w:t>- EUL coverage improvements for single and multi RAB, by means of TTI switching and UPH measurements improvements;</w:t>
      </w:r>
    </w:p>
    <w:p w14:paraId="1A49BEA0" w14:textId="77777777" w:rsidR="00E30842" w:rsidRDefault="00C11631" w:rsidP="002011EF">
      <w:pPr>
        <w:spacing w:after="200" w:line="276" w:lineRule="auto"/>
        <w:rPr>
          <w:lang w:val="en-US"/>
        </w:rPr>
      </w:pPr>
      <w:r>
        <w:t>D</w:t>
      </w:r>
      <w:r w:rsidR="002011EF">
        <w:t>uring the Study Item phase</w:t>
      </w:r>
      <w:r w:rsidR="008D1DC0">
        <w:t xml:space="preserve"> on Further EUL enhancements </w:t>
      </w:r>
      <w:r w:rsidR="008D1DC0">
        <w:fldChar w:fldCharType="begin"/>
      </w:r>
      <w:r w:rsidR="008D1DC0">
        <w:instrText xml:space="preserve"> REF _Ref377719146 \r </w:instrText>
      </w:r>
      <w:r w:rsidR="008D1DC0">
        <w:fldChar w:fldCharType="separate"/>
      </w:r>
      <w:r w:rsidR="008D1DC0">
        <w:t>[2]</w:t>
      </w:r>
      <w:r w:rsidR="008D1DC0">
        <w:fldChar w:fldCharType="end"/>
      </w:r>
      <w:r w:rsidR="002011EF">
        <w:t xml:space="preserve">, </w:t>
      </w:r>
      <w:r w:rsidR="00EF634E">
        <w:t xml:space="preserve">improvements to UPH measurements </w:t>
      </w:r>
      <w:r w:rsidR="00A26C7C">
        <w:t xml:space="preserve">and reporting </w:t>
      </w:r>
      <w:r w:rsidR="00EF634E">
        <w:t xml:space="preserve">were discussed such as introducing </w:t>
      </w:r>
      <w:r w:rsidR="00A26C7C">
        <w:t>c</w:t>
      </w:r>
      <w:r w:rsidR="00EF634E">
        <w:t>onfigurable measurement</w:t>
      </w:r>
      <w:r w:rsidR="00EF634E" w:rsidRPr="002C7EA7">
        <w:rPr>
          <w:lang w:val="en-US"/>
        </w:rPr>
        <w:t xml:space="preserve"> </w:t>
      </w:r>
      <w:r w:rsidR="00EF634E">
        <w:rPr>
          <w:lang w:val="en-US"/>
        </w:rPr>
        <w:t>window/filter conditions</w:t>
      </w:r>
      <w:r w:rsidR="00A26C7C">
        <w:rPr>
          <w:lang w:val="en-US"/>
        </w:rPr>
        <w:t xml:space="preserve">, </w:t>
      </w:r>
      <w:r w:rsidR="00EF634E" w:rsidRPr="002C7EA7">
        <w:rPr>
          <w:lang w:val="en-US"/>
        </w:rPr>
        <w:t>triggering threshold</w:t>
      </w:r>
      <w:r w:rsidR="00EF634E" w:rsidRPr="0087665D">
        <w:rPr>
          <w:lang w:val="en-US"/>
        </w:rPr>
        <w:t>s, hysteresi</w:t>
      </w:r>
      <w:r w:rsidR="004167E0">
        <w:rPr>
          <w:lang w:val="en-US"/>
        </w:rPr>
        <w:t>s margins, time-to-trigger</w:t>
      </w:r>
      <w:r w:rsidR="00EF634E" w:rsidRPr="00A422BF">
        <w:rPr>
          <w:lang w:val="en-US"/>
        </w:rPr>
        <w:t xml:space="preserve"> </w:t>
      </w:r>
      <w:r w:rsidR="00503392">
        <w:rPr>
          <w:lang w:val="en-US"/>
        </w:rPr>
        <w:t>and number</w:t>
      </w:r>
      <w:r w:rsidR="00EF634E" w:rsidRPr="002C7EA7">
        <w:rPr>
          <w:lang w:val="en-US"/>
        </w:rPr>
        <w:t xml:space="preserve"> of repetitions after trigger</w:t>
      </w:r>
      <w:r w:rsidR="00EF634E">
        <w:rPr>
          <w:lang w:val="en-US"/>
        </w:rPr>
        <w:t xml:space="preserve"> etc. </w:t>
      </w:r>
      <w:r w:rsidR="006B6E02" w:rsidRPr="006B6E02">
        <w:rPr>
          <w:lang w:val="en-US"/>
        </w:rPr>
        <w:t>Regarding</w:t>
      </w:r>
      <w:r w:rsidR="005F7AB3">
        <w:rPr>
          <w:lang w:val="en-US"/>
        </w:rPr>
        <w:t xml:space="preserve"> reporting</w:t>
      </w:r>
      <w:r w:rsidR="006B6E02" w:rsidRPr="006B6E02">
        <w:rPr>
          <w:lang w:val="en-US"/>
        </w:rPr>
        <w:t xml:space="preserve">, the </w:t>
      </w:r>
      <w:r w:rsidR="006B6E02">
        <w:rPr>
          <w:lang w:val="en-US"/>
        </w:rPr>
        <w:t xml:space="preserve">enhanced </w:t>
      </w:r>
      <w:r w:rsidR="006B6E02" w:rsidRPr="006B6E02">
        <w:rPr>
          <w:lang w:val="en-US"/>
        </w:rPr>
        <w:t xml:space="preserve">UPH measurements </w:t>
      </w:r>
      <w:r w:rsidR="004167E0">
        <w:rPr>
          <w:lang w:val="en-US"/>
        </w:rPr>
        <w:t>w</w:t>
      </w:r>
      <w:r w:rsidR="006B6E02">
        <w:rPr>
          <w:lang w:val="en-US"/>
        </w:rPr>
        <w:t>ould</w:t>
      </w:r>
      <w:r w:rsidR="006B6E02" w:rsidRPr="006B6E02">
        <w:rPr>
          <w:lang w:val="en-US"/>
        </w:rPr>
        <w:t xml:space="preserve"> be sent to the network via the MAC protocol, using an 18-bit PDU ha</w:t>
      </w:r>
      <w:r w:rsidR="006B6E02">
        <w:rPr>
          <w:lang w:val="en-US"/>
        </w:rPr>
        <w:t>ving the same format as the SI.</w:t>
      </w:r>
      <w:r w:rsidR="00E30842">
        <w:rPr>
          <w:lang w:val="en-US"/>
        </w:rPr>
        <w:t xml:space="preserve"> </w:t>
      </w:r>
    </w:p>
    <w:p w14:paraId="1A49BEA1" w14:textId="77777777" w:rsidR="002011EF" w:rsidRPr="00E30842" w:rsidRDefault="00E30842" w:rsidP="002011EF">
      <w:pPr>
        <w:spacing w:after="200" w:line="276" w:lineRule="auto"/>
        <w:rPr>
          <w:lang w:val="en-US"/>
        </w:rPr>
      </w:pPr>
      <w:r>
        <w:rPr>
          <w:lang w:val="en-US"/>
        </w:rPr>
        <w:t>Whi</w:t>
      </w:r>
      <w:r w:rsidR="00417346">
        <w:rPr>
          <w:lang w:val="en-US"/>
        </w:rPr>
        <w:t>lst the discussion</w:t>
      </w:r>
      <w:r w:rsidR="00C11631">
        <w:rPr>
          <w:lang w:val="en-US"/>
        </w:rPr>
        <w:t xml:space="preserve"> during the Study Item</w:t>
      </w:r>
      <w:r>
        <w:rPr>
          <w:lang w:val="en-US"/>
        </w:rPr>
        <w:t xml:space="preserve"> focused on </w:t>
      </w:r>
      <w:r w:rsidR="00417346">
        <w:rPr>
          <w:lang w:val="en-US"/>
        </w:rPr>
        <w:t xml:space="preserve">the use case of E-DCH </w:t>
      </w:r>
      <w:r>
        <w:rPr>
          <w:lang w:val="en-US"/>
        </w:rPr>
        <w:t xml:space="preserve">TTI switching, </w:t>
      </w:r>
      <w:r w:rsidR="00417346">
        <w:rPr>
          <w:lang w:val="en-US"/>
        </w:rPr>
        <w:t>these</w:t>
      </w:r>
      <w:r w:rsidR="005F7AB3">
        <w:rPr>
          <w:lang w:val="en-US"/>
        </w:rPr>
        <w:t xml:space="preserve"> potential</w:t>
      </w:r>
      <w:r w:rsidR="00417346">
        <w:rPr>
          <w:lang w:val="en-US"/>
        </w:rPr>
        <w:t xml:space="preserve"> UPH enhancements could</w:t>
      </w:r>
      <w:r>
        <w:rPr>
          <w:lang w:val="en-US"/>
        </w:rPr>
        <w:t xml:space="preserve"> </w:t>
      </w:r>
      <w:r w:rsidR="005F7AB3">
        <w:rPr>
          <w:lang w:val="en-US"/>
        </w:rPr>
        <w:t>also</w:t>
      </w:r>
      <w:r w:rsidR="00417346">
        <w:rPr>
          <w:lang w:val="en-US"/>
        </w:rPr>
        <w:t xml:space="preserve"> </w:t>
      </w:r>
      <w:r>
        <w:rPr>
          <w:lang w:val="en-US"/>
        </w:rPr>
        <w:t>be used to activate/de-activate t</w:t>
      </w:r>
      <w:r w:rsidR="006C370A">
        <w:rPr>
          <w:lang w:val="en-US"/>
        </w:rPr>
        <w:t>he secondary uplink carrier. The</w:t>
      </w:r>
      <w:r>
        <w:rPr>
          <w:lang w:val="en-US"/>
        </w:rPr>
        <w:t>s</w:t>
      </w:r>
      <w:r w:rsidR="006C370A">
        <w:rPr>
          <w:lang w:val="en-US"/>
        </w:rPr>
        <w:t>e</w:t>
      </w:r>
      <w:r>
        <w:rPr>
          <w:lang w:val="en-US"/>
        </w:rPr>
        <w:t xml:space="preserve"> aspect</w:t>
      </w:r>
      <w:r w:rsidR="006C370A">
        <w:rPr>
          <w:lang w:val="en-US"/>
        </w:rPr>
        <w:t>s</w:t>
      </w:r>
      <w:r>
        <w:rPr>
          <w:lang w:val="en-US"/>
        </w:rPr>
        <w:t xml:space="preserve"> </w:t>
      </w:r>
      <w:r w:rsidR="006C370A">
        <w:rPr>
          <w:lang w:val="en-US"/>
        </w:rPr>
        <w:t>are discussed further in this contribution.</w:t>
      </w:r>
    </w:p>
    <w:p w14:paraId="1A49BEA2" w14:textId="77777777" w:rsidR="003D4459" w:rsidRPr="00E30842" w:rsidRDefault="000744A3" w:rsidP="00E30842">
      <w:pPr>
        <w:pStyle w:val="Heading1"/>
        <w:numPr>
          <w:ilvl w:val="0"/>
          <w:numId w:val="0"/>
        </w:numPr>
        <w:rPr>
          <w:lang w:val="en-US"/>
        </w:rPr>
      </w:pPr>
      <w:bookmarkStart w:id="0" w:name="_Ref189046994"/>
      <w:r>
        <w:rPr>
          <w:lang w:val="en-US"/>
        </w:rPr>
        <w:t>2</w:t>
      </w:r>
      <w:r>
        <w:rPr>
          <w:lang w:val="en-US"/>
        </w:rPr>
        <w:tab/>
      </w:r>
      <w:bookmarkEnd w:id="0"/>
      <w:r w:rsidR="006B6E02">
        <w:rPr>
          <w:lang w:val="en-US"/>
        </w:rPr>
        <w:t>UPH enhancements</w:t>
      </w:r>
      <w:r w:rsidR="00E30842">
        <w:rPr>
          <w:lang w:val="en-US"/>
        </w:rPr>
        <w:t xml:space="preserve"> for </w:t>
      </w:r>
      <w:r w:rsidR="00E30842">
        <w:t>(de-)activation of Secondary Uplink</w:t>
      </w:r>
    </w:p>
    <w:p w14:paraId="1A49BEA3" w14:textId="77777777" w:rsidR="00E30842" w:rsidRDefault="00417346" w:rsidP="00E30842">
      <w:pPr>
        <w:rPr>
          <w:lang w:val="en-US"/>
        </w:rPr>
      </w:pPr>
      <w:r>
        <w:rPr>
          <w:lang w:val="en-US"/>
        </w:rPr>
        <w:t>One of the triggers for de-activating</w:t>
      </w:r>
      <w:r w:rsidR="00E30842">
        <w:rPr>
          <w:lang w:val="en-US"/>
        </w:rPr>
        <w:t xml:space="preserve"> of secondary uplink</w:t>
      </w:r>
      <w:r>
        <w:rPr>
          <w:lang w:val="en-US"/>
        </w:rPr>
        <w:t xml:space="preserve"> is</w:t>
      </w:r>
      <w:r w:rsidR="00E30842">
        <w:rPr>
          <w:lang w:val="en-US"/>
        </w:rPr>
        <w:t xml:space="preserve"> coverage measurements. Common methods for measuring the UL coverage are based on </w:t>
      </w:r>
      <w:r w:rsidR="005F7AB3">
        <w:rPr>
          <w:lang w:val="en-US"/>
        </w:rPr>
        <w:t xml:space="preserve">UPH and </w:t>
      </w:r>
      <w:r w:rsidR="00E30842">
        <w:rPr>
          <w:lang w:val="en-US"/>
        </w:rPr>
        <w:t xml:space="preserve">Measurement Report </w:t>
      </w:r>
      <w:r>
        <w:rPr>
          <w:lang w:val="en-US"/>
        </w:rPr>
        <w:t xml:space="preserve">for </w:t>
      </w:r>
      <w:r w:rsidR="00E30842">
        <w:rPr>
          <w:lang w:val="en-US"/>
        </w:rPr>
        <w:t>event</w:t>
      </w:r>
      <w:r>
        <w:rPr>
          <w:lang w:val="en-US"/>
        </w:rPr>
        <w:t>s</w:t>
      </w:r>
      <w:r w:rsidR="00E30842">
        <w:rPr>
          <w:lang w:val="en-US"/>
        </w:rPr>
        <w:t xml:space="preserve"> 6A or 6D.</w:t>
      </w:r>
    </w:p>
    <w:p w14:paraId="1A49BEA4" w14:textId="77777777" w:rsidR="00E30842" w:rsidRDefault="00E30842" w:rsidP="00E30842">
      <w:pPr>
        <w:rPr>
          <w:lang w:val="en-US"/>
        </w:rPr>
      </w:pPr>
      <w:r>
        <w:rPr>
          <w:lang w:val="en-US"/>
        </w:rPr>
        <w:t xml:space="preserve">Event 6A and 6D, when configured, are triggered when the </w:t>
      </w:r>
      <w:r w:rsidR="00417346">
        <w:rPr>
          <w:lang w:val="en-US"/>
        </w:rPr>
        <w:t>UE transmit</w:t>
      </w:r>
      <w:r w:rsidRPr="007D44AE">
        <w:rPr>
          <w:lang w:val="en-US"/>
        </w:rPr>
        <w:t xml:space="preserve"> power becomes larger than an absolute threshold</w:t>
      </w:r>
      <w:r>
        <w:rPr>
          <w:lang w:val="en-US"/>
        </w:rPr>
        <w:t xml:space="preserve"> and when t</w:t>
      </w:r>
      <w:r w:rsidR="00417346">
        <w:rPr>
          <w:lang w:val="en-US"/>
        </w:rPr>
        <w:t>he UE transmit</w:t>
      </w:r>
      <w:r w:rsidRPr="007D44AE">
        <w:rPr>
          <w:lang w:val="en-US"/>
        </w:rPr>
        <w:t xml:space="preserve"> power reaches its maximum value</w:t>
      </w:r>
      <w:r>
        <w:rPr>
          <w:lang w:val="en-US"/>
        </w:rPr>
        <w:t xml:space="preserve"> respectively. </w:t>
      </w:r>
      <w:r w:rsidR="00417346">
        <w:rPr>
          <w:lang w:val="en-US"/>
        </w:rPr>
        <w:t>Similar to</w:t>
      </w:r>
      <w:r>
        <w:rPr>
          <w:lang w:val="en-US"/>
        </w:rPr>
        <w:t xml:space="preserve"> other </w:t>
      </w:r>
      <w:r w:rsidR="005F7AB3">
        <w:rPr>
          <w:lang w:val="en-US"/>
        </w:rPr>
        <w:t>reports</w:t>
      </w:r>
      <w:r>
        <w:rPr>
          <w:lang w:val="en-US"/>
        </w:rPr>
        <w:t xml:space="preserve"> configured by L</w:t>
      </w:r>
      <w:r w:rsidR="00417346">
        <w:rPr>
          <w:lang w:val="en-US"/>
        </w:rPr>
        <w:t xml:space="preserve">ayer </w:t>
      </w:r>
      <w:r w:rsidR="005F7AB3">
        <w:rPr>
          <w:lang w:val="en-US"/>
        </w:rPr>
        <w:t>3, e</w:t>
      </w:r>
      <w:r>
        <w:rPr>
          <w:lang w:val="en-US"/>
        </w:rPr>
        <w:t>vent</w:t>
      </w:r>
      <w:r w:rsidR="005F7AB3">
        <w:rPr>
          <w:lang w:val="en-US"/>
        </w:rPr>
        <w:t>s</w:t>
      </w:r>
      <w:r>
        <w:rPr>
          <w:lang w:val="en-US"/>
        </w:rPr>
        <w:t xml:space="preserve"> 6A and 6D have the advantage of making use of </w:t>
      </w:r>
      <w:r w:rsidRPr="007D44AE">
        <w:rPr>
          <w:lang w:val="en-US"/>
        </w:rPr>
        <w:t>filtering, hysteresis, time-to-trigger</w:t>
      </w:r>
      <w:r>
        <w:rPr>
          <w:lang w:val="en-US"/>
        </w:rPr>
        <w:t xml:space="preserve"> etc. which improve stability and avoid fluctuations of the</w:t>
      </w:r>
      <w:r w:rsidR="00417346">
        <w:rPr>
          <w:lang w:val="en-US"/>
        </w:rPr>
        <w:t xml:space="preserve"> reported</w:t>
      </w:r>
      <w:r w:rsidR="005F7AB3">
        <w:rPr>
          <w:lang w:val="en-US"/>
        </w:rPr>
        <w:t xml:space="preserve"> measurements. </w:t>
      </w:r>
      <w:r>
        <w:rPr>
          <w:lang w:val="en-US"/>
        </w:rPr>
        <w:t>On the other hand the tuning of these measurements to avoid too early triggers (i.e. when the UE is still under dual-carrier coverage) or too late triggers (i.e. the UE has already lost the coverage on secondary uplink)</w:t>
      </w:r>
      <w:r w:rsidR="00C11631">
        <w:rPr>
          <w:lang w:val="en-US"/>
        </w:rPr>
        <w:t xml:space="preserve"> may be challenging.</w:t>
      </w:r>
    </w:p>
    <w:p w14:paraId="1A49BEA5" w14:textId="77777777" w:rsidR="00E30842" w:rsidRDefault="00E30842" w:rsidP="00E30842">
      <w:pPr>
        <w:rPr>
          <w:lang w:val="en-US"/>
        </w:rPr>
      </w:pPr>
      <w:r>
        <w:rPr>
          <w:lang w:val="en-US"/>
        </w:rPr>
        <w:t>An example of an event trig</w:t>
      </w:r>
      <w:r w:rsidR="00417346">
        <w:rPr>
          <w:lang w:val="en-US"/>
        </w:rPr>
        <w:t>gered too early is when UE transmit</w:t>
      </w:r>
      <w:r>
        <w:rPr>
          <w:lang w:val="en-US"/>
        </w:rPr>
        <w:t xml:space="preserve"> power increase</w:t>
      </w:r>
      <w:r w:rsidR="00417346">
        <w:rPr>
          <w:lang w:val="en-US"/>
        </w:rPr>
        <w:t>s</w:t>
      </w:r>
      <w:r>
        <w:rPr>
          <w:lang w:val="en-US"/>
        </w:rPr>
        <w:t xml:space="preserve"> due to a high rate transmission when the UE is still under a good coverage on the secondary uplink. An example of an event triggered too late is when the UE </w:t>
      </w:r>
      <w:r w:rsidR="00417346">
        <w:rPr>
          <w:lang w:val="en-US"/>
        </w:rPr>
        <w:t>is moving</w:t>
      </w:r>
      <w:r>
        <w:rPr>
          <w:lang w:val="en-US"/>
        </w:rPr>
        <w:t xml:space="preserve"> out of the coverage of the secondary uplink </w:t>
      </w:r>
      <w:r w:rsidR="005F7AB3">
        <w:rPr>
          <w:lang w:val="en-US"/>
        </w:rPr>
        <w:t>when not transmitting data but</w:t>
      </w:r>
      <w:r>
        <w:rPr>
          <w:lang w:val="en-US"/>
        </w:rPr>
        <w:t xml:space="preserve"> the UL DPCCH power is still below the reporting threshold. When the DPCCH power </w:t>
      </w:r>
      <w:r w:rsidR="00417346">
        <w:rPr>
          <w:lang w:val="en-US"/>
        </w:rPr>
        <w:t xml:space="preserve">eventually </w:t>
      </w:r>
      <w:r>
        <w:rPr>
          <w:lang w:val="en-US"/>
        </w:rPr>
        <w:t xml:space="preserve">triggers the event, the UE </w:t>
      </w:r>
      <w:r w:rsidR="00417346">
        <w:rPr>
          <w:lang w:val="en-US"/>
        </w:rPr>
        <w:t>may</w:t>
      </w:r>
      <w:r>
        <w:rPr>
          <w:lang w:val="en-US"/>
        </w:rPr>
        <w:t xml:space="preserve"> not have enough power</w:t>
      </w:r>
      <w:r w:rsidR="003D70AC">
        <w:rPr>
          <w:lang w:val="en-US"/>
        </w:rPr>
        <w:t xml:space="preserve"> even on the primary uplink</w:t>
      </w:r>
      <w:r>
        <w:rPr>
          <w:lang w:val="en-US"/>
        </w:rPr>
        <w:t xml:space="preserve"> to t</w:t>
      </w:r>
      <w:r w:rsidR="00417346">
        <w:rPr>
          <w:lang w:val="en-US"/>
        </w:rPr>
        <w:t>ransmit the Measurement Report.</w:t>
      </w:r>
    </w:p>
    <w:p w14:paraId="1A49BEA6" w14:textId="591ED41D" w:rsidR="00E30842" w:rsidRPr="002C7EA7" w:rsidRDefault="00C11631" w:rsidP="00E30842">
      <w:pPr>
        <w:rPr>
          <w:lang w:val="en-US"/>
        </w:rPr>
      </w:pPr>
      <w:r>
        <w:rPr>
          <w:lang w:val="en-US"/>
        </w:rPr>
        <w:t>On the other hand, t</w:t>
      </w:r>
      <w:r w:rsidR="00E30842">
        <w:rPr>
          <w:lang w:val="en-US"/>
        </w:rPr>
        <w:t xml:space="preserve">he </w:t>
      </w:r>
      <w:r>
        <w:rPr>
          <w:lang w:val="en-US"/>
        </w:rPr>
        <w:t>U</w:t>
      </w:r>
      <w:r w:rsidR="00417346">
        <w:rPr>
          <w:lang w:val="en-US"/>
        </w:rPr>
        <w:t>PH</w:t>
      </w:r>
      <w:r w:rsidR="00E30842" w:rsidRPr="005E3485">
        <w:rPr>
          <w:lang w:val="en-US"/>
        </w:rPr>
        <w:t xml:space="preserve"> indicates the ratio of the maximum UE transmission power and the DPCCH code power</w:t>
      </w:r>
      <w:r w:rsidR="00417346">
        <w:rPr>
          <w:lang w:val="en-US"/>
        </w:rPr>
        <w:t xml:space="preserve">. </w:t>
      </w:r>
      <w:r w:rsidR="00E30842">
        <w:rPr>
          <w:lang w:val="en-US"/>
        </w:rPr>
        <w:t>Compared to the event 6A and 6D, UPH provides a better coverage indication since it is bas</w:t>
      </w:r>
      <w:r w:rsidR="00503392">
        <w:rPr>
          <w:lang w:val="en-US"/>
        </w:rPr>
        <w:t>ed not only on the maximum UE transmit</w:t>
      </w:r>
      <w:r w:rsidR="00E30842">
        <w:rPr>
          <w:lang w:val="en-US"/>
        </w:rPr>
        <w:t xml:space="preserve"> power but also</w:t>
      </w:r>
      <w:r>
        <w:rPr>
          <w:lang w:val="en-US"/>
        </w:rPr>
        <w:t xml:space="preserve"> on the UL DPCCH power. However, </w:t>
      </w:r>
      <w:r w:rsidR="00417346">
        <w:rPr>
          <w:lang w:val="en-US"/>
        </w:rPr>
        <w:t xml:space="preserve">currently </w:t>
      </w:r>
      <w:r w:rsidR="00E30842">
        <w:rPr>
          <w:lang w:val="en-US"/>
        </w:rPr>
        <w:t xml:space="preserve">this </w:t>
      </w:r>
      <w:r w:rsidR="005F7AB3">
        <w:rPr>
          <w:lang w:val="en-US"/>
        </w:rPr>
        <w:t xml:space="preserve">UPH </w:t>
      </w:r>
      <w:r w:rsidR="00E30842">
        <w:rPr>
          <w:lang w:val="en-US"/>
        </w:rPr>
        <w:t xml:space="preserve">measurement </w:t>
      </w:r>
      <w:r w:rsidR="005F7AB3">
        <w:rPr>
          <w:lang w:val="en-US"/>
        </w:rPr>
        <w:t xml:space="preserve">and reporting </w:t>
      </w:r>
      <w:r w:rsidR="00E30842">
        <w:rPr>
          <w:lang w:val="en-US"/>
        </w:rPr>
        <w:t xml:space="preserve">does not make use of </w:t>
      </w:r>
      <w:r w:rsidR="00417346">
        <w:rPr>
          <w:lang w:val="en-US"/>
        </w:rPr>
        <w:t xml:space="preserve">L3 </w:t>
      </w:r>
      <w:r w:rsidR="00E30842">
        <w:rPr>
          <w:lang w:val="en-US"/>
        </w:rPr>
        <w:t>filtering, time to trigger and hysteresis</w:t>
      </w:r>
      <w:r w:rsidR="004167E0">
        <w:rPr>
          <w:lang w:val="en-US"/>
        </w:rPr>
        <w:t xml:space="preserve"> etc. and</w:t>
      </w:r>
      <w:r w:rsidR="00E30842">
        <w:rPr>
          <w:lang w:val="en-US"/>
        </w:rPr>
        <w:t xml:space="preserve"> hence it is subject to fluctuation</w:t>
      </w:r>
      <w:r w:rsidR="005F7AB3">
        <w:rPr>
          <w:lang w:val="en-US"/>
        </w:rPr>
        <w:t>.</w:t>
      </w:r>
    </w:p>
    <w:p w14:paraId="1A49BEA7" w14:textId="77777777" w:rsidR="00952A2C" w:rsidRDefault="00C11631" w:rsidP="005A2FE2">
      <w:r>
        <w:lastRenderedPageBreak/>
        <w:t>In many aspects, use case for using UPH for (de-)activating the secondary uplink carrier</w:t>
      </w:r>
      <w:r w:rsidR="005F7AB3">
        <w:t xml:space="preserve"> due to coverage issues</w:t>
      </w:r>
      <w:r>
        <w:t xml:space="preserve"> is quite similar to the use case of TTI switching. Thus, it </w:t>
      </w:r>
      <w:r w:rsidR="00417346">
        <w:t xml:space="preserve">would be beneficial </w:t>
      </w:r>
      <w:r>
        <w:t xml:space="preserve">to </w:t>
      </w:r>
      <w:r w:rsidR="00417346">
        <w:t>i</w:t>
      </w:r>
      <w:r>
        <w:t>ntroduce UPH measurement and reporting enhancements not only for TTI switching but also</w:t>
      </w:r>
      <w:r w:rsidR="00417346">
        <w:t xml:space="preserve"> for</w:t>
      </w:r>
      <w:r>
        <w:t xml:space="preserve"> (de-)activating the secondary uplink. It should be noted that there already exist HS-SCCH orders for activating/de-activating the secondary uplink if the network choses to do so based on the UPH reports. </w:t>
      </w:r>
    </w:p>
    <w:p w14:paraId="1A49BEA8" w14:textId="77777777" w:rsidR="00CB7CEA" w:rsidRDefault="00CB7CEA" w:rsidP="00CB7CEA">
      <w:pPr>
        <w:pStyle w:val="BodyText"/>
        <w:rPr>
          <w:b/>
        </w:rPr>
      </w:pPr>
      <w:r>
        <w:rPr>
          <w:b/>
        </w:rPr>
        <w:t>Proposal</w:t>
      </w:r>
      <w:r w:rsidR="006E3E07">
        <w:rPr>
          <w:b/>
        </w:rPr>
        <w:t xml:space="preserve"> 1</w:t>
      </w:r>
      <w:r>
        <w:rPr>
          <w:b/>
        </w:rPr>
        <w:t>: UPH measurement, configuration and</w:t>
      </w:r>
      <w:r w:rsidRPr="004F6677">
        <w:rPr>
          <w:b/>
        </w:rPr>
        <w:t xml:space="preserve"> reporting enhancements should </w:t>
      </w:r>
      <w:r w:rsidR="005F7AB3">
        <w:rPr>
          <w:b/>
        </w:rPr>
        <w:t xml:space="preserve">also </w:t>
      </w:r>
      <w:r w:rsidRPr="004F6677">
        <w:rPr>
          <w:b/>
        </w:rPr>
        <w:t>a</w:t>
      </w:r>
      <w:r>
        <w:rPr>
          <w:b/>
        </w:rPr>
        <w:t>ddress</w:t>
      </w:r>
      <w:r w:rsidRPr="004F6677">
        <w:rPr>
          <w:b/>
        </w:rPr>
        <w:t xml:space="preserve"> the use case of (de-)activating the secondary uplink carrier. Where possible, the </w:t>
      </w:r>
      <w:r>
        <w:rPr>
          <w:b/>
        </w:rPr>
        <w:t xml:space="preserve">UPH </w:t>
      </w:r>
      <w:r w:rsidRPr="004F6677">
        <w:rPr>
          <w:b/>
        </w:rPr>
        <w:t xml:space="preserve">enhancements </w:t>
      </w:r>
      <w:r>
        <w:rPr>
          <w:b/>
        </w:rPr>
        <w:t xml:space="preserve">under discussion </w:t>
      </w:r>
      <w:r w:rsidRPr="004F6677">
        <w:rPr>
          <w:b/>
        </w:rPr>
        <w:t>for TTI switching should be reused for this purpose.</w:t>
      </w:r>
    </w:p>
    <w:p w14:paraId="1A49BEA9" w14:textId="77777777" w:rsidR="006C370A" w:rsidRPr="00E30842" w:rsidRDefault="006C370A" w:rsidP="006C370A">
      <w:pPr>
        <w:pStyle w:val="Heading1"/>
        <w:numPr>
          <w:ilvl w:val="0"/>
          <w:numId w:val="0"/>
        </w:numPr>
        <w:rPr>
          <w:lang w:val="en-US"/>
        </w:rPr>
      </w:pPr>
      <w:r>
        <w:rPr>
          <w:lang w:val="en-US"/>
        </w:rPr>
        <w:t>3</w:t>
      </w:r>
      <w:r>
        <w:rPr>
          <w:lang w:val="en-US"/>
        </w:rPr>
        <w:tab/>
        <w:t>Traffic Volume based Trigger</w:t>
      </w:r>
    </w:p>
    <w:p w14:paraId="1A49BEAA" w14:textId="77777777" w:rsidR="006E3E07" w:rsidRDefault="006C370A" w:rsidP="00CB7CEA">
      <w:pPr>
        <w:pStyle w:val="BodyText"/>
      </w:pPr>
      <w:r>
        <w:t xml:space="preserve">In addition to coverage, another trigger for switching from </w:t>
      </w:r>
      <w:r w:rsidR="006F39CA">
        <w:t>single-c</w:t>
      </w:r>
      <w:r>
        <w:t>arrier</w:t>
      </w:r>
      <w:r w:rsidR="006F39CA">
        <w:t xml:space="preserve"> </w:t>
      </w:r>
      <w:r>
        <w:t>HSUPA</w:t>
      </w:r>
      <w:r w:rsidR="006F39CA">
        <w:t xml:space="preserve"> to dual-c</w:t>
      </w:r>
      <w:r>
        <w:t xml:space="preserve">arrier HSUPA could be the traffic volume at the UE. In the absence of data, it is reasonable to assume that UE’s would be operating in single carrier mode because of the excess power consumed in DC-HSUPA due to DPCCH transmissions on the secondary carrier. If there is small amount of </w:t>
      </w:r>
      <w:r w:rsidR="008A4E72">
        <w:t>data to be transmitted</w:t>
      </w:r>
      <w:r>
        <w:t>, there may not be much benefit to move</w:t>
      </w:r>
      <w:r w:rsidR="008A4E72">
        <w:t xml:space="preserve"> the UE</w:t>
      </w:r>
      <w:r>
        <w:t xml:space="preserve"> from SC-HSUPA to DC-HSUPA as this would delay the data transmission due to activation and synchronizatio</w:t>
      </w:r>
      <w:r w:rsidR="006F39CA">
        <w:t>n procedures</w:t>
      </w:r>
      <w:r w:rsidR="008A4E72">
        <w:t xml:space="preserve"> </w:t>
      </w:r>
      <w:proofErr w:type="spellStart"/>
      <w:r w:rsidR="008A4E72">
        <w:t>etc</w:t>
      </w:r>
      <w:proofErr w:type="spellEnd"/>
      <w:r w:rsidR="006E3E07">
        <w:t xml:space="preserve"> for the secondary uplink</w:t>
      </w:r>
      <w:r w:rsidR="008A4E72">
        <w:t>.</w:t>
      </w:r>
      <w:r w:rsidR="006F39CA">
        <w:t xml:space="preserve"> Only if there is sufficiently large amount of data at the UE would it make sense to activate dual-carrier HSUPA operation.</w:t>
      </w:r>
      <w:r w:rsidR="006E3E07">
        <w:t xml:space="preserve"> Thus, a traffic volume based </w:t>
      </w:r>
      <w:r w:rsidR="00890DC5">
        <w:t xml:space="preserve">measurement </w:t>
      </w:r>
      <w:r w:rsidR="006E3E07">
        <w:t>trigger</w:t>
      </w:r>
      <w:r w:rsidR="00890DC5">
        <w:t xml:space="preserve"> and reporting </w:t>
      </w:r>
      <w:r w:rsidR="000E1573">
        <w:t xml:space="preserve">to the NodeB </w:t>
      </w:r>
      <w:r w:rsidR="006E3E07">
        <w:t>could be defined for (de-)activation of DC-HSUPA.</w:t>
      </w:r>
    </w:p>
    <w:p w14:paraId="1A49BEAB" w14:textId="77777777" w:rsidR="006C370A" w:rsidRDefault="006E3E07" w:rsidP="00CB7CEA">
      <w:pPr>
        <w:pStyle w:val="BodyText"/>
      </w:pPr>
      <w:r>
        <w:t xml:space="preserve">Some further enhancements could be considered as well. For example, a joint trigger based on a </w:t>
      </w:r>
      <w:r w:rsidR="00096426">
        <w:t xml:space="preserve">weighted </w:t>
      </w:r>
      <w:r>
        <w:t>combination of UPH and traffic volume exceeding a threshold may be defined. Upon triggering of such an event, the UE would report the SI to the NodeB which would contain information on both the headroom and traffic volume in the UPH and TEBS fields respectively.</w:t>
      </w:r>
    </w:p>
    <w:p w14:paraId="1A49BEAC" w14:textId="77777777" w:rsidR="006E3E07" w:rsidRPr="00096426" w:rsidRDefault="006E3E07" w:rsidP="00CB7CEA">
      <w:pPr>
        <w:pStyle w:val="BodyText"/>
        <w:rPr>
          <w:b/>
        </w:rPr>
      </w:pPr>
      <w:r w:rsidRPr="00096426">
        <w:rPr>
          <w:b/>
        </w:rPr>
        <w:t>Proposal 2:</w:t>
      </w:r>
      <w:r w:rsidR="00F33409">
        <w:rPr>
          <w:b/>
        </w:rPr>
        <w:t xml:space="preserve"> Discuss </w:t>
      </w:r>
      <w:r w:rsidR="00890DC5">
        <w:rPr>
          <w:b/>
        </w:rPr>
        <w:t xml:space="preserve">UE measurement </w:t>
      </w:r>
      <w:r w:rsidR="0050699C">
        <w:rPr>
          <w:b/>
        </w:rPr>
        <w:t>trigger</w:t>
      </w:r>
      <w:r w:rsidR="00890DC5">
        <w:rPr>
          <w:b/>
        </w:rPr>
        <w:t xml:space="preserve"> and reporting </w:t>
      </w:r>
      <w:r w:rsidR="00096426" w:rsidRPr="00096426">
        <w:rPr>
          <w:b/>
        </w:rPr>
        <w:t>based on a weighted combination of UPH and Traffic Volume measurements for (de-)activation of secondary uplink carrier</w:t>
      </w:r>
      <w:r w:rsidRPr="00096426">
        <w:rPr>
          <w:b/>
        </w:rPr>
        <w:t>.</w:t>
      </w:r>
    </w:p>
    <w:p w14:paraId="1A49BEAD" w14:textId="77777777" w:rsidR="00C01F33" w:rsidRPr="00F6302A" w:rsidRDefault="006C370A" w:rsidP="000744A3">
      <w:pPr>
        <w:pStyle w:val="Heading1"/>
        <w:numPr>
          <w:ilvl w:val="0"/>
          <w:numId w:val="0"/>
        </w:numPr>
        <w:rPr>
          <w:lang w:val="en-US"/>
        </w:rPr>
      </w:pPr>
      <w:r>
        <w:rPr>
          <w:lang w:val="en-US"/>
        </w:rPr>
        <w:t>4</w:t>
      </w:r>
      <w:r w:rsidR="000744A3">
        <w:rPr>
          <w:lang w:val="en-US"/>
        </w:rPr>
        <w:tab/>
      </w:r>
      <w:r w:rsidR="00C01F33" w:rsidRPr="00F6302A">
        <w:rPr>
          <w:lang w:val="en-US"/>
        </w:rPr>
        <w:t>Conclusion</w:t>
      </w:r>
    </w:p>
    <w:p w14:paraId="1A49BEAE" w14:textId="77777777" w:rsidR="008D75C5" w:rsidRDefault="00CB7CEA" w:rsidP="008D75C5">
      <w:pPr>
        <w:pStyle w:val="BodyText"/>
      </w:pPr>
      <w:r>
        <w:t xml:space="preserve">In this contribution, we have discussed the use case of </w:t>
      </w:r>
      <w:r w:rsidR="00F33409">
        <w:t>(</w:t>
      </w:r>
      <w:r>
        <w:t>de-</w:t>
      </w:r>
      <w:r w:rsidR="00F33409">
        <w:t>)</w:t>
      </w:r>
      <w:r>
        <w:t>activating the secondary uplink carrier through the enhancements to UPH measurement and reporting mechanisms under discussion for TTI switching.</w:t>
      </w:r>
      <w:r w:rsidR="00F33409">
        <w:t xml:space="preserve"> We have also discussed the need for a Traffic Volume based trigger for (de-)activating the secondary uplink. The two criteria of UPH and Traffic volume could be combined to have a single </w:t>
      </w:r>
      <w:r w:rsidR="00A77434">
        <w:t>joint trigger based on a</w:t>
      </w:r>
      <w:r w:rsidR="00F33409">
        <w:t xml:space="preserve"> weighted average of the two measurements.</w:t>
      </w:r>
      <w:r>
        <w:t xml:space="preserve"> The following has been proposed:-</w:t>
      </w:r>
    </w:p>
    <w:p w14:paraId="1A49BEAF" w14:textId="77777777" w:rsidR="00096426" w:rsidRDefault="00096426" w:rsidP="00096426">
      <w:pPr>
        <w:pStyle w:val="BodyText"/>
        <w:rPr>
          <w:b/>
        </w:rPr>
      </w:pPr>
      <w:r>
        <w:rPr>
          <w:b/>
        </w:rPr>
        <w:t>Proposal 1: UPH measurement, configuration and</w:t>
      </w:r>
      <w:r w:rsidRPr="004F6677">
        <w:rPr>
          <w:b/>
        </w:rPr>
        <w:t xml:space="preserve"> reporting enhancements should </w:t>
      </w:r>
      <w:r>
        <w:rPr>
          <w:b/>
        </w:rPr>
        <w:t xml:space="preserve">also </w:t>
      </w:r>
      <w:r w:rsidRPr="004F6677">
        <w:rPr>
          <w:b/>
        </w:rPr>
        <w:t>a</w:t>
      </w:r>
      <w:r>
        <w:rPr>
          <w:b/>
        </w:rPr>
        <w:t>ddress</w:t>
      </w:r>
      <w:r w:rsidRPr="004F6677">
        <w:rPr>
          <w:b/>
        </w:rPr>
        <w:t xml:space="preserve"> the use case of (de-)activating the secondary uplink carrier. Where possible, the </w:t>
      </w:r>
      <w:r>
        <w:rPr>
          <w:b/>
        </w:rPr>
        <w:t xml:space="preserve">UPH </w:t>
      </w:r>
      <w:r w:rsidRPr="004F6677">
        <w:rPr>
          <w:b/>
        </w:rPr>
        <w:t xml:space="preserve">enhancements </w:t>
      </w:r>
      <w:r>
        <w:rPr>
          <w:b/>
        </w:rPr>
        <w:t xml:space="preserve">under discussion </w:t>
      </w:r>
      <w:r w:rsidRPr="004F6677">
        <w:rPr>
          <w:b/>
        </w:rPr>
        <w:t>for TTI switching should be reused for this purpose.</w:t>
      </w:r>
    </w:p>
    <w:p w14:paraId="1A49BEB0" w14:textId="77777777" w:rsidR="00890DC5" w:rsidRPr="00096426" w:rsidRDefault="00890DC5" w:rsidP="00890DC5">
      <w:pPr>
        <w:pStyle w:val="BodyText"/>
        <w:rPr>
          <w:b/>
        </w:rPr>
      </w:pPr>
      <w:bookmarkStart w:id="1" w:name="_In-sequence_SDU_delivery"/>
      <w:bookmarkEnd w:id="1"/>
      <w:r w:rsidRPr="00096426">
        <w:rPr>
          <w:b/>
        </w:rPr>
        <w:t>Proposal 2:</w:t>
      </w:r>
      <w:r>
        <w:rPr>
          <w:b/>
        </w:rPr>
        <w:t xml:space="preserve"> Discuss UE measurement trigger and reporting </w:t>
      </w:r>
      <w:r w:rsidRPr="00096426">
        <w:rPr>
          <w:b/>
        </w:rPr>
        <w:t>based on a weighted combination of UPH and Traffic Volume measurements for (de-)activation of secondary uplink carrier.</w:t>
      </w:r>
    </w:p>
    <w:p w14:paraId="1A49BEB1" w14:textId="77777777" w:rsidR="00F507D1" w:rsidRPr="00F6302A" w:rsidRDefault="003C7109" w:rsidP="000744A3">
      <w:pPr>
        <w:pStyle w:val="Heading1"/>
        <w:numPr>
          <w:ilvl w:val="0"/>
          <w:numId w:val="0"/>
        </w:numPr>
        <w:rPr>
          <w:lang w:val="en-US"/>
        </w:rPr>
      </w:pPr>
      <w:r>
        <w:rPr>
          <w:lang w:val="en-US"/>
        </w:rPr>
        <w:t>5</w:t>
      </w:r>
      <w:r w:rsidR="000744A3">
        <w:rPr>
          <w:lang w:val="en-US"/>
        </w:rPr>
        <w:tab/>
      </w:r>
      <w:r w:rsidR="00F507D1" w:rsidRPr="00F6302A">
        <w:rPr>
          <w:lang w:val="en-US"/>
        </w:rPr>
        <w:t>References</w:t>
      </w:r>
    </w:p>
    <w:p w14:paraId="1A49BEB2" w14:textId="77777777" w:rsidR="002011EF" w:rsidRDefault="002011EF" w:rsidP="008D75C5">
      <w:pPr>
        <w:pStyle w:val="Reference"/>
      </w:pPr>
      <w:bookmarkStart w:id="2" w:name="_Ref377719135"/>
      <w:bookmarkStart w:id="3" w:name="_Ref363715463"/>
      <w:r>
        <w:t xml:space="preserve">RP-132078, </w:t>
      </w:r>
      <w:r w:rsidRPr="007D0FC0">
        <w:t>Further EUL Enhancements</w:t>
      </w:r>
      <w:r>
        <w:t xml:space="preserve"> Work Item Description</w:t>
      </w:r>
      <w:bookmarkEnd w:id="2"/>
    </w:p>
    <w:p w14:paraId="1A49BEB3" w14:textId="77777777" w:rsidR="003A7EF3" w:rsidRPr="00417346" w:rsidRDefault="008D75C5" w:rsidP="00417346">
      <w:pPr>
        <w:pStyle w:val="Reference"/>
      </w:pPr>
      <w:bookmarkStart w:id="4" w:name="_Ref377719146"/>
      <w:r>
        <w:t xml:space="preserve">TR25.700, “Study on </w:t>
      </w:r>
      <w:bookmarkStart w:id="5" w:name="_GoBack"/>
      <w:bookmarkEnd w:id="5"/>
      <w:r>
        <w:t>Further EUL enhancements”</w:t>
      </w:r>
      <w:bookmarkEnd w:id="3"/>
      <w:bookmarkEnd w:id="4"/>
    </w:p>
    <w:sectPr w:rsidR="003A7EF3" w:rsidRPr="0041734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B22A4" w14:textId="77777777" w:rsidR="00F31C4E" w:rsidRDefault="00F31C4E">
      <w:r>
        <w:separator/>
      </w:r>
    </w:p>
  </w:endnote>
  <w:endnote w:type="continuationSeparator" w:id="0">
    <w:p w14:paraId="629B80E3" w14:textId="77777777" w:rsidR="00F31C4E" w:rsidRDefault="00F3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9BEB9" w14:textId="77777777" w:rsidR="003600A3" w:rsidRDefault="003600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13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136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E5C01" w14:textId="77777777" w:rsidR="00F31C4E" w:rsidRDefault="00F31C4E">
      <w:r>
        <w:separator/>
      </w:r>
    </w:p>
  </w:footnote>
  <w:footnote w:type="continuationSeparator" w:id="0">
    <w:p w14:paraId="162D0F66" w14:textId="77777777" w:rsidR="00F31C4E" w:rsidRDefault="00F31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9BEB8" w14:textId="77777777" w:rsidR="003600A3" w:rsidRDefault="003600A3">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57E01"/>
    <w:multiLevelType w:val="hybridMultilevel"/>
    <w:tmpl w:val="A8A2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60C99"/>
    <w:multiLevelType w:val="multilevel"/>
    <w:tmpl w:val="14FA2C1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B950B9E"/>
    <w:multiLevelType w:val="multilevel"/>
    <w:tmpl w:val="B386C9B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854C83"/>
    <w:multiLevelType w:val="hybridMultilevel"/>
    <w:tmpl w:val="1F1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C1849"/>
    <w:multiLevelType w:val="hybridMultilevel"/>
    <w:tmpl w:val="CC8CA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04B58AB"/>
    <w:multiLevelType w:val="multilevel"/>
    <w:tmpl w:val="B81EC6A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3C7F60"/>
    <w:multiLevelType w:val="hybridMultilevel"/>
    <w:tmpl w:val="9CE23758"/>
    <w:lvl w:ilvl="0" w:tplc="1CA695A2">
      <w:start w:val="2"/>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2">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637D1D"/>
    <w:multiLevelType w:val="hybridMultilevel"/>
    <w:tmpl w:val="FD52F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E436A0"/>
    <w:multiLevelType w:val="hybridMultilevel"/>
    <w:tmpl w:val="0400B6B0"/>
    <w:lvl w:ilvl="0" w:tplc="1CA695A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F2B5680"/>
    <w:multiLevelType w:val="hybridMultilevel"/>
    <w:tmpl w:val="4E1A9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5"/>
  </w:num>
  <w:num w:numId="14">
    <w:abstractNumId w:val="19"/>
  </w:num>
  <w:num w:numId="15">
    <w:abstractNumId w:val="2"/>
  </w:num>
  <w:num w:numId="16">
    <w:abstractNumId w:val="1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4"/>
  </w:num>
  <w:num w:numId="20">
    <w:abstractNumId w:val="3"/>
  </w:num>
  <w:num w:numId="21">
    <w:abstractNumId w:val="8"/>
  </w:num>
  <w:num w:numId="22">
    <w:abstractNumId w:val="1"/>
  </w:num>
  <w:num w:numId="23">
    <w:abstractNumId w:val="6"/>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171"/>
    <w:rsid w:val="000006E1"/>
    <w:rsid w:val="00002A37"/>
    <w:rsid w:val="00003E48"/>
    <w:rsid w:val="00006446"/>
    <w:rsid w:val="00006896"/>
    <w:rsid w:val="00007CDC"/>
    <w:rsid w:val="00011B28"/>
    <w:rsid w:val="00015D15"/>
    <w:rsid w:val="00021D40"/>
    <w:rsid w:val="0002564D"/>
    <w:rsid w:val="00025ECA"/>
    <w:rsid w:val="000325B8"/>
    <w:rsid w:val="0003477A"/>
    <w:rsid w:val="00034C15"/>
    <w:rsid w:val="00035945"/>
    <w:rsid w:val="00036BA1"/>
    <w:rsid w:val="000422E2"/>
    <w:rsid w:val="00042F22"/>
    <w:rsid w:val="00043A7D"/>
    <w:rsid w:val="000444EF"/>
    <w:rsid w:val="0004473F"/>
    <w:rsid w:val="00050332"/>
    <w:rsid w:val="00050CFD"/>
    <w:rsid w:val="00052A07"/>
    <w:rsid w:val="000534E3"/>
    <w:rsid w:val="0005606A"/>
    <w:rsid w:val="00057117"/>
    <w:rsid w:val="000616E7"/>
    <w:rsid w:val="00061E56"/>
    <w:rsid w:val="0006487E"/>
    <w:rsid w:val="00065E1A"/>
    <w:rsid w:val="000744A3"/>
    <w:rsid w:val="00077E5F"/>
    <w:rsid w:val="0008036A"/>
    <w:rsid w:val="00081AE6"/>
    <w:rsid w:val="00082371"/>
    <w:rsid w:val="000855EB"/>
    <w:rsid w:val="00085B52"/>
    <w:rsid w:val="000866F2"/>
    <w:rsid w:val="0009009F"/>
    <w:rsid w:val="00091557"/>
    <w:rsid w:val="000924C1"/>
    <w:rsid w:val="000924F0"/>
    <w:rsid w:val="00093474"/>
    <w:rsid w:val="0009510F"/>
    <w:rsid w:val="00096426"/>
    <w:rsid w:val="000A1B7B"/>
    <w:rsid w:val="000A56F2"/>
    <w:rsid w:val="000B0AE3"/>
    <w:rsid w:val="000B2719"/>
    <w:rsid w:val="000B3A8F"/>
    <w:rsid w:val="000B4AB9"/>
    <w:rsid w:val="000B58C3"/>
    <w:rsid w:val="000B61E9"/>
    <w:rsid w:val="000C1068"/>
    <w:rsid w:val="000C165A"/>
    <w:rsid w:val="000C2E19"/>
    <w:rsid w:val="000C3015"/>
    <w:rsid w:val="000C3253"/>
    <w:rsid w:val="000D0D07"/>
    <w:rsid w:val="000D4797"/>
    <w:rsid w:val="000E033A"/>
    <w:rsid w:val="000E0527"/>
    <w:rsid w:val="000E06DA"/>
    <w:rsid w:val="000E1573"/>
    <w:rsid w:val="000E1E92"/>
    <w:rsid w:val="000E52FC"/>
    <w:rsid w:val="000F06D6"/>
    <w:rsid w:val="000F0EB1"/>
    <w:rsid w:val="000F1106"/>
    <w:rsid w:val="000F3BE9"/>
    <w:rsid w:val="000F3F6C"/>
    <w:rsid w:val="000F6904"/>
    <w:rsid w:val="000F6DF3"/>
    <w:rsid w:val="001005FF"/>
    <w:rsid w:val="00100942"/>
    <w:rsid w:val="001062FB"/>
    <w:rsid w:val="001063E6"/>
    <w:rsid w:val="00113CF4"/>
    <w:rsid w:val="001153EA"/>
    <w:rsid w:val="00115643"/>
    <w:rsid w:val="00116765"/>
    <w:rsid w:val="001219F5"/>
    <w:rsid w:val="00121A20"/>
    <w:rsid w:val="0012377F"/>
    <w:rsid w:val="00123D65"/>
    <w:rsid w:val="00124314"/>
    <w:rsid w:val="00126B4A"/>
    <w:rsid w:val="00132FD0"/>
    <w:rsid w:val="001344C0"/>
    <w:rsid w:val="001346FA"/>
    <w:rsid w:val="00135252"/>
    <w:rsid w:val="00135F98"/>
    <w:rsid w:val="00137AB5"/>
    <w:rsid w:val="00137F0B"/>
    <w:rsid w:val="00151E23"/>
    <w:rsid w:val="001526E0"/>
    <w:rsid w:val="001551B5"/>
    <w:rsid w:val="001659C1"/>
    <w:rsid w:val="00167208"/>
    <w:rsid w:val="00172163"/>
    <w:rsid w:val="00173A8E"/>
    <w:rsid w:val="00175B97"/>
    <w:rsid w:val="00176171"/>
    <w:rsid w:val="001776AB"/>
    <w:rsid w:val="00177CF0"/>
    <w:rsid w:val="0018050A"/>
    <w:rsid w:val="0018143F"/>
    <w:rsid w:val="00190AC1"/>
    <w:rsid w:val="0019341A"/>
    <w:rsid w:val="00197DF9"/>
    <w:rsid w:val="001A1987"/>
    <w:rsid w:val="001A2564"/>
    <w:rsid w:val="001A6173"/>
    <w:rsid w:val="001A6CBA"/>
    <w:rsid w:val="001B0D97"/>
    <w:rsid w:val="001B2B69"/>
    <w:rsid w:val="001B5A5D"/>
    <w:rsid w:val="001B5E77"/>
    <w:rsid w:val="001C1CE5"/>
    <w:rsid w:val="001C3D2A"/>
    <w:rsid w:val="001D51BA"/>
    <w:rsid w:val="001D6342"/>
    <w:rsid w:val="001D6D53"/>
    <w:rsid w:val="001E114F"/>
    <w:rsid w:val="001E58E2"/>
    <w:rsid w:val="001E7AED"/>
    <w:rsid w:val="001F3916"/>
    <w:rsid w:val="001F54C5"/>
    <w:rsid w:val="001F662C"/>
    <w:rsid w:val="001F7074"/>
    <w:rsid w:val="00200490"/>
    <w:rsid w:val="002011EF"/>
    <w:rsid w:val="00201F3A"/>
    <w:rsid w:val="00202684"/>
    <w:rsid w:val="00203F96"/>
    <w:rsid w:val="002069B2"/>
    <w:rsid w:val="0020781F"/>
    <w:rsid w:val="00207FA3"/>
    <w:rsid w:val="00214DA8"/>
    <w:rsid w:val="00215423"/>
    <w:rsid w:val="002158FA"/>
    <w:rsid w:val="00220600"/>
    <w:rsid w:val="002224DB"/>
    <w:rsid w:val="00223FCB"/>
    <w:rsid w:val="002252C3"/>
    <w:rsid w:val="00225C54"/>
    <w:rsid w:val="00227AE2"/>
    <w:rsid w:val="00230765"/>
    <w:rsid w:val="002319E4"/>
    <w:rsid w:val="00235632"/>
    <w:rsid w:val="00235872"/>
    <w:rsid w:val="00241559"/>
    <w:rsid w:val="002435B3"/>
    <w:rsid w:val="002458EB"/>
    <w:rsid w:val="002500C8"/>
    <w:rsid w:val="00255CA8"/>
    <w:rsid w:val="00257543"/>
    <w:rsid w:val="002617E7"/>
    <w:rsid w:val="00264228"/>
    <w:rsid w:val="00264334"/>
    <w:rsid w:val="0026473E"/>
    <w:rsid w:val="00265992"/>
    <w:rsid w:val="00266214"/>
    <w:rsid w:val="00267C83"/>
    <w:rsid w:val="0027144F"/>
    <w:rsid w:val="00271F3A"/>
    <w:rsid w:val="00272DE7"/>
    <w:rsid w:val="00273278"/>
    <w:rsid w:val="002737F4"/>
    <w:rsid w:val="00274613"/>
    <w:rsid w:val="002805F5"/>
    <w:rsid w:val="00280751"/>
    <w:rsid w:val="0028280A"/>
    <w:rsid w:val="00286ACD"/>
    <w:rsid w:val="00287838"/>
    <w:rsid w:val="002907B5"/>
    <w:rsid w:val="002915B0"/>
    <w:rsid w:val="00292EB7"/>
    <w:rsid w:val="00293D26"/>
    <w:rsid w:val="00296227"/>
    <w:rsid w:val="00296F44"/>
    <w:rsid w:val="0029777D"/>
    <w:rsid w:val="002A055E"/>
    <w:rsid w:val="002A1D4E"/>
    <w:rsid w:val="002A2869"/>
    <w:rsid w:val="002B24D6"/>
    <w:rsid w:val="002C41E6"/>
    <w:rsid w:val="002D071A"/>
    <w:rsid w:val="002D34B2"/>
    <w:rsid w:val="002D5E24"/>
    <w:rsid w:val="002D7637"/>
    <w:rsid w:val="002E17F2"/>
    <w:rsid w:val="002E7CAE"/>
    <w:rsid w:val="002F2771"/>
    <w:rsid w:val="002F37A9"/>
    <w:rsid w:val="00301CE6"/>
    <w:rsid w:val="0030256B"/>
    <w:rsid w:val="0030501F"/>
    <w:rsid w:val="003050D2"/>
    <w:rsid w:val="00307BA1"/>
    <w:rsid w:val="00311702"/>
    <w:rsid w:val="00311E82"/>
    <w:rsid w:val="00313FD6"/>
    <w:rsid w:val="003143BD"/>
    <w:rsid w:val="00315F0F"/>
    <w:rsid w:val="003203ED"/>
    <w:rsid w:val="00322C9F"/>
    <w:rsid w:val="00324D23"/>
    <w:rsid w:val="003271D2"/>
    <w:rsid w:val="00331751"/>
    <w:rsid w:val="00334579"/>
    <w:rsid w:val="00335858"/>
    <w:rsid w:val="00336B72"/>
    <w:rsid w:val="00336BDA"/>
    <w:rsid w:val="0034025C"/>
    <w:rsid w:val="00342BD7"/>
    <w:rsid w:val="00346DB5"/>
    <w:rsid w:val="003477B1"/>
    <w:rsid w:val="0035720A"/>
    <w:rsid w:val="00357380"/>
    <w:rsid w:val="003600A3"/>
    <w:rsid w:val="003602D9"/>
    <w:rsid w:val="003604CE"/>
    <w:rsid w:val="00370E47"/>
    <w:rsid w:val="003742AC"/>
    <w:rsid w:val="00377CE1"/>
    <w:rsid w:val="003832B6"/>
    <w:rsid w:val="00385A67"/>
    <w:rsid w:val="00385BF0"/>
    <w:rsid w:val="0039269F"/>
    <w:rsid w:val="003939FF"/>
    <w:rsid w:val="003A2223"/>
    <w:rsid w:val="003A2A0F"/>
    <w:rsid w:val="003A45A1"/>
    <w:rsid w:val="003A5B0A"/>
    <w:rsid w:val="003A671F"/>
    <w:rsid w:val="003A6BAC"/>
    <w:rsid w:val="003A7EF3"/>
    <w:rsid w:val="003B159C"/>
    <w:rsid w:val="003B369F"/>
    <w:rsid w:val="003B36A3"/>
    <w:rsid w:val="003B7FE5"/>
    <w:rsid w:val="003C11C8"/>
    <w:rsid w:val="003C2702"/>
    <w:rsid w:val="003C5DB2"/>
    <w:rsid w:val="003C7109"/>
    <w:rsid w:val="003C7806"/>
    <w:rsid w:val="003D0CEC"/>
    <w:rsid w:val="003D109F"/>
    <w:rsid w:val="003D2478"/>
    <w:rsid w:val="003D292B"/>
    <w:rsid w:val="003D4459"/>
    <w:rsid w:val="003D4AEC"/>
    <w:rsid w:val="003D5B1F"/>
    <w:rsid w:val="003D6B27"/>
    <w:rsid w:val="003D70AC"/>
    <w:rsid w:val="003E15FA"/>
    <w:rsid w:val="003E55E4"/>
    <w:rsid w:val="003E74E3"/>
    <w:rsid w:val="003F05C7"/>
    <w:rsid w:val="003F2CD4"/>
    <w:rsid w:val="003F6BBE"/>
    <w:rsid w:val="004000E8"/>
    <w:rsid w:val="00401681"/>
    <w:rsid w:val="00402E2B"/>
    <w:rsid w:val="0040512B"/>
    <w:rsid w:val="00405CA5"/>
    <w:rsid w:val="00407CD3"/>
    <w:rsid w:val="00407D36"/>
    <w:rsid w:val="00410134"/>
    <w:rsid w:val="00410B72"/>
    <w:rsid w:val="00410F18"/>
    <w:rsid w:val="0041263E"/>
    <w:rsid w:val="00413AAC"/>
    <w:rsid w:val="004167E0"/>
    <w:rsid w:val="00417346"/>
    <w:rsid w:val="00420C41"/>
    <w:rsid w:val="00421105"/>
    <w:rsid w:val="00423ACF"/>
    <w:rsid w:val="004242F4"/>
    <w:rsid w:val="00427248"/>
    <w:rsid w:val="004345D0"/>
    <w:rsid w:val="00437447"/>
    <w:rsid w:val="00440A4A"/>
    <w:rsid w:val="00441A92"/>
    <w:rsid w:val="00444F56"/>
    <w:rsid w:val="00446488"/>
    <w:rsid w:val="004517AA"/>
    <w:rsid w:val="00452CAC"/>
    <w:rsid w:val="0045347E"/>
    <w:rsid w:val="00454A0A"/>
    <w:rsid w:val="00456244"/>
    <w:rsid w:val="00457565"/>
    <w:rsid w:val="00457B71"/>
    <w:rsid w:val="00460AC7"/>
    <w:rsid w:val="004669E2"/>
    <w:rsid w:val="00470C31"/>
    <w:rsid w:val="004734D0"/>
    <w:rsid w:val="0047556B"/>
    <w:rsid w:val="00477768"/>
    <w:rsid w:val="00480E7C"/>
    <w:rsid w:val="004848B7"/>
    <w:rsid w:val="00492BC5"/>
    <w:rsid w:val="004955D2"/>
    <w:rsid w:val="004964F1"/>
    <w:rsid w:val="004A16BC"/>
    <w:rsid w:val="004A2B94"/>
    <w:rsid w:val="004A6118"/>
    <w:rsid w:val="004A6B85"/>
    <w:rsid w:val="004B7C0C"/>
    <w:rsid w:val="004C3898"/>
    <w:rsid w:val="004D36B1"/>
    <w:rsid w:val="004D6C37"/>
    <w:rsid w:val="004D7EBD"/>
    <w:rsid w:val="004E2680"/>
    <w:rsid w:val="004E28F9"/>
    <w:rsid w:val="004E462E"/>
    <w:rsid w:val="004E56DC"/>
    <w:rsid w:val="004E76F4"/>
    <w:rsid w:val="004F0B4E"/>
    <w:rsid w:val="004F0B6C"/>
    <w:rsid w:val="004F2078"/>
    <w:rsid w:val="004F4DA3"/>
    <w:rsid w:val="004F6677"/>
    <w:rsid w:val="00503392"/>
    <w:rsid w:val="00506557"/>
    <w:rsid w:val="0050677A"/>
    <w:rsid w:val="0050699C"/>
    <w:rsid w:val="005108D8"/>
    <w:rsid w:val="005116F9"/>
    <w:rsid w:val="005153A7"/>
    <w:rsid w:val="00515AF9"/>
    <w:rsid w:val="0051611D"/>
    <w:rsid w:val="005219CF"/>
    <w:rsid w:val="00534B59"/>
    <w:rsid w:val="00536759"/>
    <w:rsid w:val="00537C62"/>
    <w:rsid w:val="00546970"/>
    <w:rsid w:val="00554E19"/>
    <w:rsid w:val="00557793"/>
    <w:rsid w:val="0056121F"/>
    <w:rsid w:val="00572505"/>
    <w:rsid w:val="00582809"/>
    <w:rsid w:val="0058798C"/>
    <w:rsid w:val="005900FA"/>
    <w:rsid w:val="005935A4"/>
    <w:rsid w:val="005948C2"/>
    <w:rsid w:val="00594967"/>
    <w:rsid w:val="00595DCA"/>
    <w:rsid w:val="0059779B"/>
    <w:rsid w:val="005A016D"/>
    <w:rsid w:val="005A209A"/>
    <w:rsid w:val="005A2FE2"/>
    <w:rsid w:val="005A662D"/>
    <w:rsid w:val="005B35D7"/>
    <w:rsid w:val="005B392A"/>
    <w:rsid w:val="005B3AA3"/>
    <w:rsid w:val="005B6F83"/>
    <w:rsid w:val="005C74FB"/>
    <w:rsid w:val="005D1602"/>
    <w:rsid w:val="005E0239"/>
    <w:rsid w:val="005E385F"/>
    <w:rsid w:val="005E5B81"/>
    <w:rsid w:val="005F09FD"/>
    <w:rsid w:val="005F2CB1"/>
    <w:rsid w:val="005F618C"/>
    <w:rsid w:val="005F70BD"/>
    <w:rsid w:val="005F7AB3"/>
    <w:rsid w:val="0060283C"/>
    <w:rsid w:val="00604F14"/>
    <w:rsid w:val="00611B83"/>
    <w:rsid w:val="00613257"/>
    <w:rsid w:val="006143A7"/>
    <w:rsid w:val="00614BE6"/>
    <w:rsid w:val="00620A71"/>
    <w:rsid w:val="00620D80"/>
    <w:rsid w:val="006222C5"/>
    <w:rsid w:val="006234A6"/>
    <w:rsid w:val="00630001"/>
    <w:rsid w:val="006311B3"/>
    <w:rsid w:val="0063284C"/>
    <w:rsid w:val="00636398"/>
    <w:rsid w:val="006368D3"/>
    <w:rsid w:val="006377EC"/>
    <w:rsid w:val="0064151F"/>
    <w:rsid w:val="00641533"/>
    <w:rsid w:val="0064208D"/>
    <w:rsid w:val="00643475"/>
    <w:rsid w:val="0064366A"/>
    <w:rsid w:val="0064396A"/>
    <w:rsid w:val="0064624E"/>
    <w:rsid w:val="00650AB9"/>
    <w:rsid w:val="00655733"/>
    <w:rsid w:val="00655ACD"/>
    <w:rsid w:val="00656A92"/>
    <w:rsid w:val="00656DDE"/>
    <w:rsid w:val="00657BE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A5B"/>
    <w:rsid w:val="00695FC2"/>
    <w:rsid w:val="00696949"/>
    <w:rsid w:val="00697052"/>
    <w:rsid w:val="006A109B"/>
    <w:rsid w:val="006A46FB"/>
    <w:rsid w:val="006A5E28"/>
    <w:rsid w:val="006A697B"/>
    <w:rsid w:val="006A7AFF"/>
    <w:rsid w:val="006B1816"/>
    <w:rsid w:val="006B2099"/>
    <w:rsid w:val="006B50CF"/>
    <w:rsid w:val="006B6E02"/>
    <w:rsid w:val="006C03B8"/>
    <w:rsid w:val="006C370A"/>
    <w:rsid w:val="006C533E"/>
    <w:rsid w:val="006C5EC9"/>
    <w:rsid w:val="006C6059"/>
    <w:rsid w:val="006C7522"/>
    <w:rsid w:val="006D1B7C"/>
    <w:rsid w:val="006D39D0"/>
    <w:rsid w:val="006D6F08"/>
    <w:rsid w:val="006E062C"/>
    <w:rsid w:val="006E28B7"/>
    <w:rsid w:val="006E3310"/>
    <w:rsid w:val="006E3E07"/>
    <w:rsid w:val="006E4B9B"/>
    <w:rsid w:val="006E4E39"/>
    <w:rsid w:val="006E565E"/>
    <w:rsid w:val="006E584D"/>
    <w:rsid w:val="006E5AB3"/>
    <w:rsid w:val="006E673D"/>
    <w:rsid w:val="006E7D3B"/>
    <w:rsid w:val="006F1B70"/>
    <w:rsid w:val="006F341D"/>
    <w:rsid w:val="006F39CA"/>
    <w:rsid w:val="006F3CDE"/>
    <w:rsid w:val="006F58D4"/>
    <w:rsid w:val="0070346E"/>
    <w:rsid w:val="00704EDB"/>
    <w:rsid w:val="00706101"/>
    <w:rsid w:val="00707072"/>
    <w:rsid w:val="00707D61"/>
    <w:rsid w:val="00707D6B"/>
    <w:rsid w:val="00712287"/>
    <w:rsid w:val="00712772"/>
    <w:rsid w:val="007147B5"/>
    <w:rsid w:val="007148D3"/>
    <w:rsid w:val="00715B9A"/>
    <w:rsid w:val="00715E03"/>
    <w:rsid w:val="00726EA6"/>
    <w:rsid w:val="00727208"/>
    <w:rsid w:val="00727680"/>
    <w:rsid w:val="007348B1"/>
    <w:rsid w:val="007362A6"/>
    <w:rsid w:val="00736D7D"/>
    <w:rsid w:val="00740E58"/>
    <w:rsid w:val="007445A0"/>
    <w:rsid w:val="0074524B"/>
    <w:rsid w:val="00747D8B"/>
    <w:rsid w:val="00751228"/>
    <w:rsid w:val="007571E1"/>
    <w:rsid w:val="007604B2"/>
    <w:rsid w:val="00761561"/>
    <w:rsid w:val="00761879"/>
    <w:rsid w:val="00761AF2"/>
    <w:rsid w:val="00765281"/>
    <w:rsid w:val="00766BAD"/>
    <w:rsid w:val="007755F2"/>
    <w:rsid w:val="00776971"/>
    <w:rsid w:val="0078177E"/>
    <w:rsid w:val="0078304C"/>
    <w:rsid w:val="00783673"/>
    <w:rsid w:val="00785490"/>
    <w:rsid w:val="00785660"/>
    <w:rsid w:val="007924A0"/>
    <w:rsid w:val="007925EA"/>
    <w:rsid w:val="00793CD8"/>
    <w:rsid w:val="00795C92"/>
    <w:rsid w:val="00796231"/>
    <w:rsid w:val="007A1CB3"/>
    <w:rsid w:val="007A306F"/>
    <w:rsid w:val="007A43A6"/>
    <w:rsid w:val="007A58A6"/>
    <w:rsid w:val="007B1946"/>
    <w:rsid w:val="007B3D2D"/>
    <w:rsid w:val="007B50AE"/>
    <w:rsid w:val="007B51DF"/>
    <w:rsid w:val="007C05DD"/>
    <w:rsid w:val="007C3D18"/>
    <w:rsid w:val="007C60BF"/>
    <w:rsid w:val="007C6A07"/>
    <w:rsid w:val="007C75A1"/>
    <w:rsid w:val="007C77A5"/>
    <w:rsid w:val="007C7DBC"/>
    <w:rsid w:val="007D04E5"/>
    <w:rsid w:val="007D4D93"/>
    <w:rsid w:val="007D5901"/>
    <w:rsid w:val="007D7526"/>
    <w:rsid w:val="007E4610"/>
    <w:rsid w:val="007E4715"/>
    <w:rsid w:val="007E505B"/>
    <w:rsid w:val="007E7091"/>
    <w:rsid w:val="007F680C"/>
    <w:rsid w:val="00802D2E"/>
    <w:rsid w:val="00803FAE"/>
    <w:rsid w:val="0080605F"/>
    <w:rsid w:val="00807786"/>
    <w:rsid w:val="00811FCB"/>
    <w:rsid w:val="008158D6"/>
    <w:rsid w:val="00815A33"/>
    <w:rsid w:val="00817196"/>
    <w:rsid w:val="008235DB"/>
    <w:rsid w:val="00824298"/>
    <w:rsid w:val="00824AB4"/>
    <w:rsid w:val="00825C42"/>
    <w:rsid w:val="00825D25"/>
    <w:rsid w:val="008271F6"/>
    <w:rsid w:val="00827D6F"/>
    <w:rsid w:val="00834FC1"/>
    <w:rsid w:val="008363D4"/>
    <w:rsid w:val="008376AC"/>
    <w:rsid w:val="008444E8"/>
    <w:rsid w:val="00844E80"/>
    <w:rsid w:val="00846FE7"/>
    <w:rsid w:val="00856911"/>
    <w:rsid w:val="00862E3A"/>
    <w:rsid w:val="008677FD"/>
    <w:rsid w:val="008706D4"/>
    <w:rsid w:val="00870F8A"/>
    <w:rsid w:val="008719A4"/>
    <w:rsid w:val="00871D23"/>
    <w:rsid w:val="008737C6"/>
    <w:rsid w:val="00874312"/>
    <w:rsid w:val="0087437C"/>
    <w:rsid w:val="00875CD7"/>
    <w:rsid w:val="00876B4D"/>
    <w:rsid w:val="00877F18"/>
    <w:rsid w:val="00890DC5"/>
    <w:rsid w:val="008929F3"/>
    <w:rsid w:val="00892DBC"/>
    <w:rsid w:val="00894A88"/>
    <w:rsid w:val="00895386"/>
    <w:rsid w:val="008A21FF"/>
    <w:rsid w:val="008A2CE2"/>
    <w:rsid w:val="008A30AC"/>
    <w:rsid w:val="008A44B8"/>
    <w:rsid w:val="008A4E72"/>
    <w:rsid w:val="008A51A8"/>
    <w:rsid w:val="008A54C7"/>
    <w:rsid w:val="008A77D8"/>
    <w:rsid w:val="008B03CD"/>
    <w:rsid w:val="008B0483"/>
    <w:rsid w:val="008B120C"/>
    <w:rsid w:val="008B51A0"/>
    <w:rsid w:val="008B592A"/>
    <w:rsid w:val="008B7B5C"/>
    <w:rsid w:val="008C0C99"/>
    <w:rsid w:val="008C2017"/>
    <w:rsid w:val="008C4958"/>
    <w:rsid w:val="008C4A84"/>
    <w:rsid w:val="008C4B1E"/>
    <w:rsid w:val="008C4BAA"/>
    <w:rsid w:val="008C6AE8"/>
    <w:rsid w:val="008C7573"/>
    <w:rsid w:val="008D1DC0"/>
    <w:rsid w:val="008D255B"/>
    <w:rsid w:val="008D34F1"/>
    <w:rsid w:val="008D39D8"/>
    <w:rsid w:val="008D6D1A"/>
    <w:rsid w:val="008D75C5"/>
    <w:rsid w:val="008E0927"/>
    <w:rsid w:val="008E1909"/>
    <w:rsid w:val="008F1EAB"/>
    <w:rsid w:val="008F33DC"/>
    <w:rsid w:val="008F477F"/>
    <w:rsid w:val="008F5337"/>
    <w:rsid w:val="00902350"/>
    <w:rsid w:val="0090336B"/>
    <w:rsid w:val="009053AA"/>
    <w:rsid w:val="00906939"/>
    <w:rsid w:val="00910B7D"/>
    <w:rsid w:val="00911DFB"/>
    <w:rsid w:val="009139D9"/>
    <w:rsid w:val="00914AD8"/>
    <w:rsid w:val="00916079"/>
    <w:rsid w:val="00917CE9"/>
    <w:rsid w:val="00920BF2"/>
    <w:rsid w:val="00922010"/>
    <w:rsid w:val="00922CDF"/>
    <w:rsid w:val="00931BD9"/>
    <w:rsid w:val="00935884"/>
    <w:rsid w:val="009368F3"/>
    <w:rsid w:val="009409E1"/>
    <w:rsid w:val="00941636"/>
    <w:rsid w:val="00943742"/>
    <w:rsid w:val="00945C05"/>
    <w:rsid w:val="00946945"/>
    <w:rsid w:val="00947713"/>
    <w:rsid w:val="00950DE7"/>
    <w:rsid w:val="00952A2C"/>
    <w:rsid w:val="00953920"/>
    <w:rsid w:val="00953D47"/>
    <w:rsid w:val="0095681E"/>
    <w:rsid w:val="009572D4"/>
    <w:rsid w:val="00961921"/>
    <w:rsid w:val="0096430A"/>
    <w:rsid w:val="0096554B"/>
    <w:rsid w:val="0096584A"/>
    <w:rsid w:val="00965D2E"/>
    <w:rsid w:val="00971F08"/>
    <w:rsid w:val="0097603D"/>
    <w:rsid w:val="00976949"/>
    <w:rsid w:val="00980477"/>
    <w:rsid w:val="009841F7"/>
    <w:rsid w:val="00985253"/>
    <w:rsid w:val="009853B3"/>
    <w:rsid w:val="00990630"/>
    <w:rsid w:val="00991761"/>
    <w:rsid w:val="00994DCA"/>
    <w:rsid w:val="009960EC"/>
    <w:rsid w:val="009970DD"/>
    <w:rsid w:val="009A0FBA"/>
    <w:rsid w:val="009A1601"/>
    <w:rsid w:val="009A462D"/>
    <w:rsid w:val="009A5CBA"/>
    <w:rsid w:val="009A6EB8"/>
    <w:rsid w:val="009B1F30"/>
    <w:rsid w:val="009B3AC2"/>
    <w:rsid w:val="009B4DF4"/>
    <w:rsid w:val="009B564E"/>
    <w:rsid w:val="009B6548"/>
    <w:rsid w:val="009B7E87"/>
    <w:rsid w:val="009C403E"/>
    <w:rsid w:val="009D4FF0"/>
    <w:rsid w:val="009D703C"/>
    <w:rsid w:val="009D718F"/>
    <w:rsid w:val="009E068F"/>
    <w:rsid w:val="009E14E0"/>
    <w:rsid w:val="009E35DB"/>
    <w:rsid w:val="009E3AA5"/>
    <w:rsid w:val="009E440A"/>
    <w:rsid w:val="009E47A3"/>
    <w:rsid w:val="009F08F3"/>
    <w:rsid w:val="009F344F"/>
    <w:rsid w:val="00A048A8"/>
    <w:rsid w:val="00A13E54"/>
    <w:rsid w:val="00A14200"/>
    <w:rsid w:val="00A1444F"/>
    <w:rsid w:val="00A14E8E"/>
    <w:rsid w:val="00A17C71"/>
    <w:rsid w:val="00A17F63"/>
    <w:rsid w:val="00A2193B"/>
    <w:rsid w:val="00A2351A"/>
    <w:rsid w:val="00A264A9"/>
    <w:rsid w:val="00A26BC8"/>
    <w:rsid w:val="00A26C7C"/>
    <w:rsid w:val="00A27785"/>
    <w:rsid w:val="00A30187"/>
    <w:rsid w:val="00A31262"/>
    <w:rsid w:val="00A32912"/>
    <w:rsid w:val="00A3448A"/>
    <w:rsid w:val="00A36297"/>
    <w:rsid w:val="00A41E2B"/>
    <w:rsid w:val="00A422BF"/>
    <w:rsid w:val="00A457AC"/>
    <w:rsid w:val="00A45B74"/>
    <w:rsid w:val="00A52E1D"/>
    <w:rsid w:val="00A60A62"/>
    <w:rsid w:val="00A61499"/>
    <w:rsid w:val="00A62A77"/>
    <w:rsid w:val="00A63483"/>
    <w:rsid w:val="00A657D7"/>
    <w:rsid w:val="00A660AC"/>
    <w:rsid w:val="00A67E6C"/>
    <w:rsid w:val="00A71B99"/>
    <w:rsid w:val="00A739D0"/>
    <w:rsid w:val="00A761D4"/>
    <w:rsid w:val="00A77434"/>
    <w:rsid w:val="00A77EC4"/>
    <w:rsid w:val="00A916E9"/>
    <w:rsid w:val="00A92879"/>
    <w:rsid w:val="00A9442A"/>
    <w:rsid w:val="00AA016F"/>
    <w:rsid w:val="00AA1ED6"/>
    <w:rsid w:val="00AA51D6"/>
    <w:rsid w:val="00AB0BC8"/>
    <w:rsid w:val="00AB11CA"/>
    <w:rsid w:val="00AB14D9"/>
    <w:rsid w:val="00AB4AB8"/>
    <w:rsid w:val="00AB655E"/>
    <w:rsid w:val="00AC007F"/>
    <w:rsid w:val="00AC144B"/>
    <w:rsid w:val="00AC1EEE"/>
    <w:rsid w:val="00AC2ECD"/>
    <w:rsid w:val="00AC3119"/>
    <w:rsid w:val="00AC49FB"/>
    <w:rsid w:val="00AC5A10"/>
    <w:rsid w:val="00AD0AA3"/>
    <w:rsid w:val="00AD3F94"/>
    <w:rsid w:val="00AD4A5A"/>
    <w:rsid w:val="00AE1A7F"/>
    <w:rsid w:val="00AE27AC"/>
    <w:rsid w:val="00AE40E0"/>
    <w:rsid w:val="00AE4DBA"/>
    <w:rsid w:val="00AE4F07"/>
    <w:rsid w:val="00AE6885"/>
    <w:rsid w:val="00AF1C5D"/>
    <w:rsid w:val="00AF42D7"/>
    <w:rsid w:val="00AF71EC"/>
    <w:rsid w:val="00B0004C"/>
    <w:rsid w:val="00B006FE"/>
    <w:rsid w:val="00B007CB"/>
    <w:rsid w:val="00B018FB"/>
    <w:rsid w:val="00B02AA9"/>
    <w:rsid w:val="00B02FA3"/>
    <w:rsid w:val="00B05084"/>
    <w:rsid w:val="00B157F9"/>
    <w:rsid w:val="00B16F8C"/>
    <w:rsid w:val="00B20256"/>
    <w:rsid w:val="00B20D09"/>
    <w:rsid w:val="00B24E33"/>
    <w:rsid w:val="00B2763F"/>
    <w:rsid w:val="00B27AAC"/>
    <w:rsid w:val="00B30929"/>
    <w:rsid w:val="00B372AA"/>
    <w:rsid w:val="00B40445"/>
    <w:rsid w:val="00B41888"/>
    <w:rsid w:val="00B45A52"/>
    <w:rsid w:val="00B46175"/>
    <w:rsid w:val="00B5339D"/>
    <w:rsid w:val="00B57C69"/>
    <w:rsid w:val="00B61A02"/>
    <w:rsid w:val="00B664C7"/>
    <w:rsid w:val="00B739F6"/>
    <w:rsid w:val="00B81A6C"/>
    <w:rsid w:val="00B85DE5"/>
    <w:rsid w:val="00B90F73"/>
    <w:rsid w:val="00B936A8"/>
    <w:rsid w:val="00B93B59"/>
    <w:rsid w:val="00B9406A"/>
    <w:rsid w:val="00BA2280"/>
    <w:rsid w:val="00BA2A08"/>
    <w:rsid w:val="00BA56D2"/>
    <w:rsid w:val="00BA76E0"/>
    <w:rsid w:val="00BB2A25"/>
    <w:rsid w:val="00BB51E9"/>
    <w:rsid w:val="00BC0FDC"/>
    <w:rsid w:val="00BC3053"/>
    <w:rsid w:val="00BC4D2E"/>
    <w:rsid w:val="00BC588D"/>
    <w:rsid w:val="00BD1B88"/>
    <w:rsid w:val="00BD48AC"/>
    <w:rsid w:val="00BD5F1A"/>
    <w:rsid w:val="00BD6470"/>
    <w:rsid w:val="00BE1234"/>
    <w:rsid w:val="00BE2FA6"/>
    <w:rsid w:val="00BE333F"/>
    <w:rsid w:val="00BE7406"/>
    <w:rsid w:val="00BE7603"/>
    <w:rsid w:val="00BF3279"/>
    <w:rsid w:val="00BF74C7"/>
    <w:rsid w:val="00C015F1"/>
    <w:rsid w:val="00C01F33"/>
    <w:rsid w:val="00C02CC6"/>
    <w:rsid w:val="00C040F7"/>
    <w:rsid w:val="00C043EF"/>
    <w:rsid w:val="00C044AB"/>
    <w:rsid w:val="00C05706"/>
    <w:rsid w:val="00C07377"/>
    <w:rsid w:val="00C10478"/>
    <w:rsid w:val="00C11631"/>
    <w:rsid w:val="00C12107"/>
    <w:rsid w:val="00C14D4B"/>
    <w:rsid w:val="00C154BB"/>
    <w:rsid w:val="00C161F1"/>
    <w:rsid w:val="00C2055C"/>
    <w:rsid w:val="00C21A21"/>
    <w:rsid w:val="00C279B5"/>
    <w:rsid w:val="00C27C45"/>
    <w:rsid w:val="00C3719D"/>
    <w:rsid w:val="00C45F51"/>
    <w:rsid w:val="00C54995"/>
    <w:rsid w:val="00C54D41"/>
    <w:rsid w:val="00C568CC"/>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CBD"/>
    <w:rsid w:val="00CB7CEA"/>
    <w:rsid w:val="00CC040E"/>
    <w:rsid w:val="00CC0982"/>
    <w:rsid w:val="00CC111F"/>
    <w:rsid w:val="00CC2011"/>
    <w:rsid w:val="00CC2675"/>
    <w:rsid w:val="00CC3EA0"/>
    <w:rsid w:val="00CC7B45"/>
    <w:rsid w:val="00CD1188"/>
    <w:rsid w:val="00CD2ED1"/>
    <w:rsid w:val="00CD337B"/>
    <w:rsid w:val="00CE021D"/>
    <w:rsid w:val="00CE7155"/>
    <w:rsid w:val="00CE7561"/>
    <w:rsid w:val="00CF1354"/>
    <w:rsid w:val="00CF3B1F"/>
    <w:rsid w:val="00CF3BF6"/>
    <w:rsid w:val="00CF5AE7"/>
    <w:rsid w:val="00CF625B"/>
    <w:rsid w:val="00CF687E"/>
    <w:rsid w:val="00D02BCD"/>
    <w:rsid w:val="00D0349B"/>
    <w:rsid w:val="00D10249"/>
    <w:rsid w:val="00D10A83"/>
    <w:rsid w:val="00D115C3"/>
    <w:rsid w:val="00D11897"/>
    <w:rsid w:val="00D13135"/>
    <w:rsid w:val="00D13E4E"/>
    <w:rsid w:val="00D15509"/>
    <w:rsid w:val="00D239A7"/>
    <w:rsid w:val="00D23F47"/>
    <w:rsid w:val="00D36E71"/>
    <w:rsid w:val="00D37707"/>
    <w:rsid w:val="00D37D87"/>
    <w:rsid w:val="00D40B33"/>
    <w:rsid w:val="00D4318F"/>
    <w:rsid w:val="00D438BF"/>
    <w:rsid w:val="00D440F8"/>
    <w:rsid w:val="00D5037A"/>
    <w:rsid w:val="00D50943"/>
    <w:rsid w:val="00D546FF"/>
    <w:rsid w:val="00D558FE"/>
    <w:rsid w:val="00D55AD5"/>
    <w:rsid w:val="00D561D2"/>
    <w:rsid w:val="00D576CA"/>
    <w:rsid w:val="00D57FAF"/>
    <w:rsid w:val="00D61AF5"/>
    <w:rsid w:val="00D652B5"/>
    <w:rsid w:val="00D66155"/>
    <w:rsid w:val="00D708B0"/>
    <w:rsid w:val="00D77B1D"/>
    <w:rsid w:val="00D8021F"/>
    <w:rsid w:val="00D80383"/>
    <w:rsid w:val="00D80ABB"/>
    <w:rsid w:val="00D823C6"/>
    <w:rsid w:val="00D82685"/>
    <w:rsid w:val="00D86CA3"/>
    <w:rsid w:val="00D871CE"/>
    <w:rsid w:val="00D9196D"/>
    <w:rsid w:val="00D91FC5"/>
    <w:rsid w:val="00D92982"/>
    <w:rsid w:val="00DA305E"/>
    <w:rsid w:val="00DA5417"/>
    <w:rsid w:val="00DA56E8"/>
    <w:rsid w:val="00DB377D"/>
    <w:rsid w:val="00DC2D36"/>
    <w:rsid w:val="00DC53EF"/>
    <w:rsid w:val="00DD33C7"/>
    <w:rsid w:val="00DD6F4D"/>
    <w:rsid w:val="00DE5608"/>
    <w:rsid w:val="00DE58D0"/>
    <w:rsid w:val="00DE654F"/>
    <w:rsid w:val="00DF0B6E"/>
    <w:rsid w:val="00DF15E0"/>
    <w:rsid w:val="00DF37A0"/>
    <w:rsid w:val="00E043C2"/>
    <w:rsid w:val="00E10F92"/>
    <w:rsid w:val="00E110E7"/>
    <w:rsid w:val="00E11B20"/>
    <w:rsid w:val="00E15666"/>
    <w:rsid w:val="00E17FA2"/>
    <w:rsid w:val="00E21768"/>
    <w:rsid w:val="00E22330"/>
    <w:rsid w:val="00E30842"/>
    <w:rsid w:val="00E30B5A"/>
    <w:rsid w:val="00E3123D"/>
    <w:rsid w:val="00E31461"/>
    <w:rsid w:val="00E31D43"/>
    <w:rsid w:val="00E32608"/>
    <w:rsid w:val="00E34188"/>
    <w:rsid w:val="00E341FD"/>
    <w:rsid w:val="00E34B6E"/>
    <w:rsid w:val="00E35559"/>
    <w:rsid w:val="00E3723A"/>
    <w:rsid w:val="00E37860"/>
    <w:rsid w:val="00E41110"/>
    <w:rsid w:val="00E446F1"/>
    <w:rsid w:val="00E46886"/>
    <w:rsid w:val="00E47AEF"/>
    <w:rsid w:val="00E50715"/>
    <w:rsid w:val="00E50BB2"/>
    <w:rsid w:val="00E53B75"/>
    <w:rsid w:val="00E54E3B"/>
    <w:rsid w:val="00E57565"/>
    <w:rsid w:val="00E63838"/>
    <w:rsid w:val="00E64434"/>
    <w:rsid w:val="00E67C51"/>
    <w:rsid w:val="00E72168"/>
    <w:rsid w:val="00E72EFC"/>
    <w:rsid w:val="00E758EC"/>
    <w:rsid w:val="00E8234C"/>
    <w:rsid w:val="00E83AA9"/>
    <w:rsid w:val="00E84C6F"/>
    <w:rsid w:val="00E85928"/>
    <w:rsid w:val="00E87822"/>
    <w:rsid w:val="00E90395"/>
    <w:rsid w:val="00E90E49"/>
    <w:rsid w:val="00E917F9"/>
    <w:rsid w:val="00E9263B"/>
    <w:rsid w:val="00E9291C"/>
    <w:rsid w:val="00E93FFE"/>
    <w:rsid w:val="00E94F8A"/>
    <w:rsid w:val="00E963C8"/>
    <w:rsid w:val="00EA2B2F"/>
    <w:rsid w:val="00EA2CE5"/>
    <w:rsid w:val="00EA4734"/>
    <w:rsid w:val="00EA7A41"/>
    <w:rsid w:val="00EB077B"/>
    <w:rsid w:val="00EB2973"/>
    <w:rsid w:val="00EB4EA2"/>
    <w:rsid w:val="00EB57F9"/>
    <w:rsid w:val="00EC27C6"/>
    <w:rsid w:val="00EC4207"/>
    <w:rsid w:val="00EC5653"/>
    <w:rsid w:val="00EC71CE"/>
    <w:rsid w:val="00ED1006"/>
    <w:rsid w:val="00EF109C"/>
    <w:rsid w:val="00EF18FE"/>
    <w:rsid w:val="00EF5787"/>
    <w:rsid w:val="00EF60D0"/>
    <w:rsid w:val="00EF634E"/>
    <w:rsid w:val="00F0528D"/>
    <w:rsid w:val="00F06C67"/>
    <w:rsid w:val="00F06DFD"/>
    <w:rsid w:val="00F06E42"/>
    <w:rsid w:val="00F071D1"/>
    <w:rsid w:val="00F07533"/>
    <w:rsid w:val="00F10629"/>
    <w:rsid w:val="00F15FA5"/>
    <w:rsid w:val="00F209B7"/>
    <w:rsid w:val="00F2376F"/>
    <w:rsid w:val="00F243D8"/>
    <w:rsid w:val="00F303F8"/>
    <w:rsid w:val="00F30828"/>
    <w:rsid w:val="00F313D6"/>
    <w:rsid w:val="00F31511"/>
    <w:rsid w:val="00F31C4E"/>
    <w:rsid w:val="00F33409"/>
    <w:rsid w:val="00F40F0C"/>
    <w:rsid w:val="00F4766C"/>
    <w:rsid w:val="00F476E7"/>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06F"/>
    <w:rsid w:val="00F804BE"/>
    <w:rsid w:val="00F817CE"/>
    <w:rsid w:val="00F8456C"/>
    <w:rsid w:val="00F859D8"/>
    <w:rsid w:val="00F868F5"/>
    <w:rsid w:val="00F9056A"/>
    <w:rsid w:val="00F90F8D"/>
    <w:rsid w:val="00F9108D"/>
    <w:rsid w:val="00F92782"/>
    <w:rsid w:val="00F93AA9"/>
    <w:rsid w:val="00F96985"/>
    <w:rsid w:val="00F97838"/>
    <w:rsid w:val="00FA2BB3"/>
    <w:rsid w:val="00FB4C80"/>
    <w:rsid w:val="00FB6A6A"/>
    <w:rsid w:val="00FC4053"/>
    <w:rsid w:val="00FC72DE"/>
    <w:rsid w:val="00FC7429"/>
    <w:rsid w:val="00FD07F6"/>
    <w:rsid w:val="00FD1365"/>
    <w:rsid w:val="00FD1EC8"/>
    <w:rsid w:val="00FD47ED"/>
    <w:rsid w:val="00FD74DB"/>
    <w:rsid w:val="00FD7660"/>
    <w:rsid w:val="00FE0655"/>
    <w:rsid w:val="00FE2365"/>
    <w:rsid w:val="00FE4C7B"/>
    <w:rsid w:val="00FE7336"/>
    <w:rsid w:val="00FE787C"/>
    <w:rsid w:val="00FF45A5"/>
    <w:rsid w:val="00FF5217"/>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9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F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0F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0F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0F92"/>
    <w:pPr>
      <w:numPr>
        <w:ilvl w:val="2"/>
      </w:numPr>
      <w:spacing w:before="120"/>
      <w:outlineLvl w:val="2"/>
    </w:pPr>
    <w:rPr>
      <w:sz w:val="28"/>
      <w:szCs w:val="28"/>
    </w:rPr>
  </w:style>
  <w:style w:type="paragraph" w:styleId="Heading4">
    <w:name w:val="heading 4"/>
    <w:basedOn w:val="Heading3"/>
    <w:next w:val="Normal"/>
    <w:qFormat/>
    <w:rsid w:val="00E10F92"/>
    <w:pPr>
      <w:numPr>
        <w:ilvl w:val="3"/>
      </w:numPr>
      <w:outlineLvl w:val="3"/>
    </w:pPr>
    <w:rPr>
      <w:sz w:val="24"/>
      <w:szCs w:val="24"/>
    </w:rPr>
  </w:style>
  <w:style w:type="paragraph" w:styleId="Heading5">
    <w:name w:val="heading 5"/>
    <w:basedOn w:val="Heading4"/>
    <w:next w:val="Normal"/>
    <w:qFormat/>
    <w:rsid w:val="00E10F92"/>
    <w:pPr>
      <w:numPr>
        <w:ilvl w:val="4"/>
      </w:numPr>
      <w:outlineLvl w:val="4"/>
    </w:pPr>
    <w:rPr>
      <w:sz w:val="22"/>
      <w:szCs w:val="22"/>
    </w:rPr>
  </w:style>
  <w:style w:type="paragraph" w:styleId="Heading6">
    <w:name w:val="heading 6"/>
    <w:basedOn w:val="Normal"/>
    <w:next w:val="Normal"/>
    <w:qFormat/>
    <w:rsid w:val="00E10F92"/>
    <w:pPr>
      <w:keepNext/>
      <w:keepLines/>
      <w:numPr>
        <w:ilvl w:val="5"/>
        <w:numId w:val="1"/>
      </w:numPr>
      <w:spacing w:before="120"/>
      <w:outlineLvl w:val="5"/>
    </w:pPr>
    <w:rPr>
      <w:rFonts w:cs="Arial"/>
    </w:rPr>
  </w:style>
  <w:style w:type="paragraph" w:styleId="Heading7">
    <w:name w:val="heading 7"/>
    <w:basedOn w:val="Normal"/>
    <w:next w:val="Normal"/>
    <w:qFormat/>
    <w:rsid w:val="00E10F92"/>
    <w:pPr>
      <w:keepNext/>
      <w:keepLines/>
      <w:numPr>
        <w:ilvl w:val="6"/>
        <w:numId w:val="1"/>
      </w:numPr>
      <w:spacing w:before="120"/>
      <w:outlineLvl w:val="6"/>
    </w:pPr>
    <w:rPr>
      <w:rFonts w:cs="Arial"/>
    </w:rPr>
  </w:style>
  <w:style w:type="paragraph" w:styleId="Heading8">
    <w:name w:val="heading 8"/>
    <w:basedOn w:val="Heading7"/>
    <w:next w:val="Normal"/>
    <w:qFormat/>
    <w:rsid w:val="00E10F92"/>
    <w:pPr>
      <w:numPr>
        <w:ilvl w:val="7"/>
      </w:numPr>
      <w:outlineLvl w:val="7"/>
    </w:pPr>
  </w:style>
  <w:style w:type="paragraph" w:styleId="Heading9">
    <w:name w:val="heading 9"/>
    <w:basedOn w:val="Heading8"/>
    <w:next w:val="Normal"/>
    <w:qFormat/>
    <w:rsid w:val="00E10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0F92"/>
    <w:pPr>
      <w:spacing w:before="180"/>
      <w:ind w:left="2693" w:hanging="2693"/>
    </w:pPr>
    <w:rPr>
      <w:b/>
      <w:bCs/>
    </w:rPr>
  </w:style>
  <w:style w:type="paragraph" w:styleId="TOC1">
    <w:name w:val="toc 1"/>
    <w:semiHidden/>
    <w:rsid w:val="00E1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E10F92"/>
    <w:pPr>
      <w:keepNext/>
      <w:keepLines/>
      <w:spacing w:before="180"/>
      <w:jc w:val="center"/>
    </w:pPr>
  </w:style>
  <w:style w:type="paragraph" w:styleId="Caption">
    <w:name w:val="caption"/>
    <w:basedOn w:val="Normal"/>
    <w:next w:val="Normal"/>
    <w:qFormat/>
    <w:rsid w:val="00E10F92"/>
    <w:pPr>
      <w:spacing w:after="240"/>
      <w:jc w:val="center"/>
    </w:pPr>
    <w:rPr>
      <w:b/>
      <w:bCs/>
    </w:rPr>
  </w:style>
  <w:style w:type="paragraph" w:styleId="TOC5">
    <w:name w:val="toc 5"/>
    <w:basedOn w:val="TOC4"/>
    <w:semiHidden/>
    <w:rsid w:val="00E10F92"/>
    <w:pPr>
      <w:ind w:left="1701" w:hanging="1701"/>
    </w:pPr>
  </w:style>
  <w:style w:type="paragraph" w:styleId="TOC4">
    <w:name w:val="toc 4"/>
    <w:basedOn w:val="TOC3"/>
    <w:semiHidden/>
    <w:rsid w:val="00E10F92"/>
    <w:pPr>
      <w:ind w:left="1418" w:hanging="1418"/>
    </w:pPr>
  </w:style>
  <w:style w:type="paragraph" w:styleId="TOC3">
    <w:name w:val="toc 3"/>
    <w:basedOn w:val="TOC2"/>
    <w:semiHidden/>
    <w:rsid w:val="00E10F92"/>
    <w:pPr>
      <w:ind w:left="1134" w:hanging="1134"/>
    </w:pPr>
  </w:style>
  <w:style w:type="paragraph" w:styleId="TOC2">
    <w:name w:val="toc 2"/>
    <w:basedOn w:val="TOC1"/>
    <w:semiHidden/>
    <w:rsid w:val="00E10F92"/>
    <w:pPr>
      <w:keepNext w:val="0"/>
      <w:spacing w:before="0"/>
      <w:ind w:left="851" w:hanging="851"/>
    </w:pPr>
    <w:rPr>
      <w:sz w:val="20"/>
      <w:szCs w:val="20"/>
    </w:rPr>
  </w:style>
  <w:style w:type="paragraph" w:styleId="Index2">
    <w:name w:val="index 2"/>
    <w:basedOn w:val="Index1"/>
    <w:semiHidden/>
    <w:rsid w:val="00E10F92"/>
    <w:pPr>
      <w:ind w:left="284"/>
    </w:pPr>
  </w:style>
  <w:style w:type="paragraph" w:styleId="Index1">
    <w:name w:val="index 1"/>
    <w:basedOn w:val="Normal"/>
    <w:semiHidden/>
    <w:rsid w:val="00E10F92"/>
    <w:pPr>
      <w:keepLines/>
      <w:spacing w:after="0"/>
    </w:pPr>
  </w:style>
  <w:style w:type="paragraph" w:styleId="DocumentMap">
    <w:name w:val="Document Map"/>
    <w:basedOn w:val="Normal"/>
    <w:semiHidden/>
    <w:rsid w:val="00E10F92"/>
    <w:pPr>
      <w:shd w:val="clear" w:color="auto" w:fill="000080"/>
    </w:pPr>
    <w:rPr>
      <w:rFonts w:ascii="Tahoma" w:hAnsi="Tahoma" w:cs="Tahoma"/>
    </w:rPr>
  </w:style>
  <w:style w:type="paragraph" w:styleId="ListNumber2">
    <w:name w:val="List Number 2"/>
    <w:basedOn w:val="ListNumber"/>
    <w:rsid w:val="00E10F92"/>
    <w:pPr>
      <w:ind w:left="851"/>
    </w:pPr>
  </w:style>
  <w:style w:type="paragraph" w:styleId="ListNumber">
    <w:name w:val="List Number"/>
    <w:basedOn w:val="List"/>
    <w:rsid w:val="00E10F92"/>
  </w:style>
  <w:style w:type="paragraph" w:styleId="List">
    <w:name w:val="List"/>
    <w:basedOn w:val="Normal"/>
    <w:rsid w:val="00E10F92"/>
    <w:pPr>
      <w:ind w:left="568" w:hanging="284"/>
    </w:pPr>
  </w:style>
  <w:style w:type="paragraph" w:styleId="Header">
    <w:name w:val="header"/>
    <w:rsid w:val="00E10F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0F92"/>
    <w:rPr>
      <w:b/>
      <w:bCs/>
      <w:position w:val="6"/>
      <w:sz w:val="16"/>
      <w:szCs w:val="16"/>
    </w:rPr>
  </w:style>
  <w:style w:type="paragraph" w:styleId="FootnoteText">
    <w:name w:val="footnote text"/>
    <w:basedOn w:val="Normal"/>
    <w:semiHidden/>
    <w:rsid w:val="00E10F92"/>
    <w:pPr>
      <w:keepLines/>
      <w:spacing w:after="0"/>
      <w:ind w:left="454" w:hanging="454"/>
    </w:pPr>
    <w:rPr>
      <w:sz w:val="16"/>
      <w:szCs w:val="16"/>
    </w:rPr>
  </w:style>
  <w:style w:type="paragraph" w:customStyle="1" w:styleId="3GPPHeader">
    <w:name w:val="3GPP_Header"/>
    <w:basedOn w:val="Normal"/>
    <w:rsid w:val="00E10F92"/>
    <w:pPr>
      <w:tabs>
        <w:tab w:val="left" w:pos="1701"/>
        <w:tab w:val="right" w:pos="9639"/>
      </w:tabs>
      <w:spacing w:after="240"/>
    </w:pPr>
    <w:rPr>
      <w:b/>
      <w:sz w:val="24"/>
    </w:rPr>
  </w:style>
  <w:style w:type="paragraph" w:styleId="TOC9">
    <w:name w:val="toc 9"/>
    <w:basedOn w:val="TOC8"/>
    <w:semiHidden/>
    <w:rsid w:val="00E10F92"/>
    <w:pPr>
      <w:ind w:left="1418" w:hanging="1418"/>
    </w:pPr>
  </w:style>
  <w:style w:type="paragraph" w:styleId="TOC6">
    <w:name w:val="toc 6"/>
    <w:basedOn w:val="TOC5"/>
    <w:next w:val="Normal"/>
    <w:semiHidden/>
    <w:rsid w:val="00E10F92"/>
    <w:pPr>
      <w:ind w:left="1985" w:hanging="1985"/>
    </w:pPr>
  </w:style>
  <w:style w:type="paragraph" w:styleId="TOC7">
    <w:name w:val="toc 7"/>
    <w:basedOn w:val="TOC6"/>
    <w:next w:val="Normal"/>
    <w:semiHidden/>
    <w:rsid w:val="00E10F92"/>
    <w:pPr>
      <w:ind w:left="2268" w:hanging="2268"/>
    </w:pPr>
  </w:style>
  <w:style w:type="paragraph" w:styleId="ListBullet2">
    <w:name w:val="List Bullet 2"/>
    <w:basedOn w:val="ListBullet"/>
    <w:rsid w:val="00E10F92"/>
    <w:pPr>
      <w:numPr>
        <w:numId w:val="6"/>
      </w:numPr>
    </w:pPr>
  </w:style>
  <w:style w:type="paragraph" w:styleId="ListBullet">
    <w:name w:val="List Bullet"/>
    <w:basedOn w:val="BodyText"/>
    <w:rsid w:val="00E10F92"/>
    <w:pPr>
      <w:numPr>
        <w:numId w:val="5"/>
      </w:numPr>
    </w:pPr>
  </w:style>
  <w:style w:type="paragraph" w:styleId="ListBullet3">
    <w:name w:val="List Bullet 3"/>
    <w:basedOn w:val="ListBullet2"/>
    <w:rsid w:val="00E10F92"/>
    <w:pPr>
      <w:numPr>
        <w:numId w:val="7"/>
      </w:numPr>
    </w:pPr>
  </w:style>
  <w:style w:type="paragraph" w:customStyle="1" w:styleId="EQ">
    <w:name w:val="EQ"/>
    <w:basedOn w:val="Normal"/>
    <w:next w:val="Normal"/>
    <w:rsid w:val="00E10F92"/>
    <w:pPr>
      <w:keepLines/>
      <w:tabs>
        <w:tab w:val="center" w:pos="4536"/>
        <w:tab w:val="right" w:pos="9072"/>
      </w:tabs>
      <w:spacing w:after="180"/>
      <w:jc w:val="left"/>
    </w:pPr>
    <w:rPr>
      <w:noProof/>
      <w:lang w:eastAsia="en-US"/>
    </w:rPr>
  </w:style>
  <w:style w:type="paragraph" w:styleId="List2">
    <w:name w:val="List 2"/>
    <w:basedOn w:val="List"/>
    <w:rsid w:val="00E10F92"/>
    <w:pPr>
      <w:ind w:left="851"/>
    </w:pPr>
  </w:style>
  <w:style w:type="paragraph" w:styleId="List3">
    <w:name w:val="List 3"/>
    <w:basedOn w:val="List2"/>
    <w:rsid w:val="00E10F92"/>
    <w:pPr>
      <w:ind w:left="1135"/>
    </w:pPr>
  </w:style>
  <w:style w:type="paragraph" w:styleId="List4">
    <w:name w:val="List 4"/>
    <w:basedOn w:val="List3"/>
    <w:rsid w:val="00E10F92"/>
    <w:pPr>
      <w:ind w:left="1418"/>
    </w:pPr>
  </w:style>
  <w:style w:type="paragraph" w:styleId="List5">
    <w:name w:val="List 5"/>
    <w:basedOn w:val="List4"/>
    <w:rsid w:val="00E10F92"/>
    <w:pPr>
      <w:ind w:left="1702"/>
    </w:pPr>
  </w:style>
  <w:style w:type="paragraph" w:customStyle="1" w:styleId="EditorsNote">
    <w:name w:val="Editor's Note"/>
    <w:basedOn w:val="Normal"/>
    <w:rsid w:val="00E10F92"/>
    <w:pPr>
      <w:keepLines/>
      <w:spacing w:after="180"/>
      <w:ind w:left="1135" w:hanging="851"/>
      <w:jc w:val="left"/>
    </w:pPr>
    <w:rPr>
      <w:color w:val="FF0000"/>
      <w:lang w:eastAsia="en-US"/>
    </w:rPr>
  </w:style>
  <w:style w:type="paragraph" w:styleId="ListBullet4">
    <w:name w:val="List Bullet 4"/>
    <w:basedOn w:val="ListBullet3"/>
    <w:rsid w:val="00E10F92"/>
    <w:pPr>
      <w:numPr>
        <w:numId w:val="8"/>
      </w:numPr>
    </w:pPr>
  </w:style>
  <w:style w:type="paragraph" w:styleId="ListBullet5">
    <w:name w:val="List Bullet 5"/>
    <w:basedOn w:val="ListBullet4"/>
    <w:rsid w:val="00E10F92"/>
    <w:pPr>
      <w:numPr>
        <w:numId w:val="4"/>
      </w:numPr>
    </w:pPr>
  </w:style>
  <w:style w:type="paragraph" w:styleId="Footer">
    <w:name w:val="footer"/>
    <w:basedOn w:val="Header"/>
    <w:semiHidden/>
    <w:rsid w:val="00E10F92"/>
    <w:pPr>
      <w:jc w:val="center"/>
    </w:pPr>
    <w:rPr>
      <w:i/>
      <w:iCs/>
    </w:rPr>
  </w:style>
  <w:style w:type="paragraph" w:customStyle="1" w:styleId="Reference">
    <w:name w:val="Reference"/>
    <w:basedOn w:val="Normal"/>
    <w:rsid w:val="00E10F92"/>
    <w:pPr>
      <w:numPr>
        <w:numId w:val="2"/>
      </w:numPr>
    </w:pPr>
  </w:style>
  <w:style w:type="paragraph" w:styleId="BalloonText">
    <w:name w:val="Balloon Text"/>
    <w:basedOn w:val="Normal"/>
    <w:semiHidden/>
    <w:rsid w:val="00E10F92"/>
    <w:rPr>
      <w:rFonts w:ascii="Tahoma" w:hAnsi="Tahoma" w:cs="Tahoma"/>
      <w:sz w:val="16"/>
      <w:szCs w:val="16"/>
    </w:rPr>
  </w:style>
  <w:style w:type="character" w:styleId="PageNumber">
    <w:name w:val="page number"/>
    <w:semiHidden/>
    <w:rsid w:val="00E10F92"/>
  </w:style>
  <w:style w:type="paragraph" w:styleId="BodyText">
    <w:name w:val="Body Text"/>
    <w:basedOn w:val="Normal"/>
    <w:link w:val="BodyTextChar"/>
    <w:rsid w:val="00E10F92"/>
  </w:style>
  <w:style w:type="character" w:styleId="Hyperlink">
    <w:name w:val="Hyperlink"/>
    <w:rsid w:val="00E10F92"/>
    <w:rPr>
      <w:color w:val="0000FF"/>
      <w:u w:val="single"/>
    </w:rPr>
  </w:style>
  <w:style w:type="character" w:styleId="FollowedHyperlink">
    <w:name w:val="FollowedHyperlink"/>
    <w:semiHidden/>
    <w:rsid w:val="00E10F92"/>
    <w:rPr>
      <w:color w:val="FF0000"/>
      <w:u w:val="single"/>
    </w:rPr>
  </w:style>
  <w:style w:type="character" w:styleId="CommentReference">
    <w:name w:val="annotation reference"/>
    <w:uiPriority w:val="99"/>
    <w:semiHidden/>
    <w:rsid w:val="00E10F92"/>
    <w:rPr>
      <w:sz w:val="16"/>
      <w:szCs w:val="16"/>
    </w:rPr>
  </w:style>
  <w:style w:type="paragraph" w:styleId="CommentText">
    <w:name w:val="annotation text"/>
    <w:basedOn w:val="Normal"/>
    <w:link w:val="CommentTextChar"/>
    <w:uiPriority w:val="99"/>
    <w:semiHidden/>
    <w:rsid w:val="00E10F92"/>
  </w:style>
  <w:style w:type="paragraph" w:styleId="CommentSubject">
    <w:name w:val="annotation subject"/>
    <w:basedOn w:val="CommentText"/>
    <w:next w:val="CommentText"/>
    <w:semiHidden/>
    <w:rsid w:val="00E10F92"/>
    <w:rPr>
      <w:b/>
      <w:bCs/>
    </w:rPr>
  </w:style>
  <w:style w:type="character" w:customStyle="1" w:styleId="Heading1Char">
    <w:name w:val="Heading 1 Char"/>
    <w:link w:val="Heading1"/>
    <w:rsid w:val="00E10F92"/>
    <w:rPr>
      <w:rFonts w:ascii="Arial" w:hAnsi="Arial" w:cs="Arial"/>
      <w:sz w:val="36"/>
      <w:szCs w:val="36"/>
      <w:lang w:val="en-GB" w:eastAsia="zh-CN"/>
    </w:rPr>
  </w:style>
  <w:style w:type="paragraph" w:customStyle="1" w:styleId="B1">
    <w:name w:val="B1"/>
    <w:basedOn w:val="List"/>
    <w:rsid w:val="00E10F92"/>
    <w:pPr>
      <w:spacing w:after="180"/>
      <w:jc w:val="left"/>
    </w:pPr>
    <w:rPr>
      <w:lang w:eastAsia="en-US"/>
    </w:rPr>
  </w:style>
  <w:style w:type="paragraph" w:customStyle="1" w:styleId="B2">
    <w:name w:val="B2"/>
    <w:basedOn w:val="List2"/>
    <w:rsid w:val="00E10F92"/>
    <w:pPr>
      <w:spacing w:after="180"/>
      <w:jc w:val="left"/>
    </w:pPr>
    <w:rPr>
      <w:lang w:eastAsia="en-US"/>
    </w:rPr>
  </w:style>
  <w:style w:type="paragraph" w:customStyle="1" w:styleId="B3">
    <w:name w:val="B3"/>
    <w:basedOn w:val="List3"/>
    <w:rsid w:val="00E10F92"/>
    <w:pPr>
      <w:spacing w:after="180"/>
      <w:jc w:val="left"/>
    </w:pPr>
    <w:rPr>
      <w:lang w:eastAsia="en-US"/>
    </w:rPr>
  </w:style>
  <w:style w:type="paragraph" w:customStyle="1" w:styleId="B4">
    <w:name w:val="B4"/>
    <w:basedOn w:val="List4"/>
    <w:rsid w:val="00E10F92"/>
    <w:pPr>
      <w:spacing w:after="180"/>
      <w:jc w:val="left"/>
    </w:pPr>
    <w:rPr>
      <w:lang w:eastAsia="en-US"/>
    </w:rPr>
  </w:style>
  <w:style w:type="paragraph" w:customStyle="1" w:styleId="Proposal">
    <w:name w:val="Proposal"/>
    <w:basedOn w:val="Normal"/>
    <w:rsid w:val="00E10F92"/>
    <w:pPr>
      <w:numPr>
        <w:numId w:val="3"/>
      </w:numPr>
    </w:pPr>
    <w:rPr>
      <w:b/>
      <w:bCs/>
      <w:lang w:val="en-US"/>
    </w:rPr>
  </w:style>
  <w:style w:type="character" w:customStyle="1" w:styleId="BodyTextChar">
    <w:name w:val="Body Text Char"/>
    <w:link w:val="BodyText"/>
    <w:rsid w:val="00E10F92"/>
    <w:rPr>
      <w:rFonts w:ascii="Arial" w:hAnsi="Arial"/>
      <w:lang w:val="en-GB" w:eastAsia="zh-CN"/>
    </w:rPr>
  </w:style>
  <w:style w:type="paragraph" w:customStyle="1" w:styleId="B5">
    <w:name w:val="B5"/>
    <w:basedOn w:val="List5"/>
    <w:rsid w:val="00E10F92"/>
    <w:pPr>
      <w:spacing w:after="180"/>
      <w:jc w:val="left"/>
    </w:pPr>
    <w:rPr>
      <w:lang w:eastAsia="en-US"/>
    </w:rPr>
  </w:style>
  <w:style w:type="paragraph" w:customStyle="1" w:styleId="EX">
    <w:name w:val="EX"/>
    <w:basedOn w:val="Normal"/>
    <w:rsid w:val="00E10F92"/>
    <w:pPr>
      <w:keepLines/>
      <w:spacing w:after="180"/>
      <w:ind w:left="1702" w:hanging="1418"/>
      <w:jc w:val="left"/>
    </w:pPr>
    <w:rPr>
      <w:lang w:eastAsia="en-US"/>
    </w:rPr>
  </w:style>
  <w:style w:type="paragraph" w:customStyle="1" w:styleId="EW">
    <w:name w:val="EW"/>
    <w:basedOn w:val="EX"/>
    <w:rsid w:val="00E10F92"/>
    <w:pPr>
      <w:spacing w:after="0"/>
    </w:pPr>
  </w:style>
  <w:style w:type="paragraph" w:customStyle="1" w:styleId="TAL">
    <w:name w:val="TAL"/>
    <w:basedOn w:val="Normal"/>
    <w:rsid w:val="00E10F92"/>
    <w:pPr>
      <w:keepNext/>
      <w:keepLines/>
      <w:spacing w:after="0"/>
      <w:jc w:val="left"/>
    </w:pPr>
    <w:rPr>
      <w:sz w:val="18"/>
      <w:lang w:eastAsia="en-US"/>
    </w:rPr>
  </w:style>
  <w:style w:type="paragraph" w:customStyle="1" w:styleId="TAC">
    <w:name w:val="TAC"/>
    <w:basedOn w:val="TAL"/>
    <w:rsid w:val="00E10F92"/>
    <w:pPr>
      <w:jc w:val="center"/>
    </w:pPr>
  </w:style>
  <w:style w:type="paragraph" w:customStyle="1" w:styleId="TAH">
    <w:name w:val="TAH"/>
    <w:basedOn w:val="TAC"/>
    <w:rsid w:val="00E10F92"/>
    <w:rPr>
      <w:b/>
    </w:rPr>
  </w:style>
  <w:style w:type="paragraph" w:customStyle="1" w:styleId="TAN">
    <w:name w:val="TAN"/>
    <w:basedOn w:val="TAL"/>
    <w:rsid w:val="00E10F92"/>
    <w:pPr>
      <w:ind w:left="851" w:hanging="851"/>
    </w:pPr>
  </w:style>
  <w:style w:type="paragraph" w:customStyle="1" w:styleId="TAR">
    <w:name w:val="TAR"/>
    <w:basedOn w:val="TAL"/>
    <w:rsid w:val="00E10F92"/>
    <w:pPr>
      <w:jc w:val="right"/>
    </w:pPr>
  </w:style>
  <w:style w:type="paragraph" w:customStyle="1" w:styleId="TH">
    <w:name w:val="TH"/>
    <w:basedOn w:val="Normal"/>
    <w:rsid w:val="00E10F92"/>
    <w:pPr>
      <w:keepNext/>
      <w:keepLines/>
      <w:spacing w:before="60" w:after="180"/>
      <w:jc w:val="center"/>
    </w:pPr>
    <w:rPr>
      <w:b/>
      <w:lang w:eastAsia="en-US"/>
    </w:rPr>
  </w:style>
  <w:style w:type="paragraph" w:customStyle="1" w:styleId="TF">
    <w:name w:val="TF"/>
    <w:basedOn w:val="TH"/>
    <w:rsid w:val="00E10F92"/>
    <w:pPr>
      <w:keepNext w:val="0"/>
      <w:spacing w:before="0" w:after="240"/>
    </w:pPr>
  </w:style>
  <w:style w:type="paragraph" w:customStyle="1" w:styleId="TT">
    <w:name w:val="TT"/>
    <w:basedOn w:val="Heading1"/>
    <w:next w:val="Normal"/>
    <w:rsid w:val="00E10F92"/>
    <w:pPr>
      <w:numPr>
        <w:numId w:val="0"/>
      </w:numPr>
      <w:ind w:left="1134" w:hanging="1134"/>
      <w:outlineLvl w:val="9"/>
    </w:pPr>
    <w:rPr>
      <w:rFonts w:cs="Times New Roman"/>
      <w:szCs w:val="20"/>
      <w:lang w:eastAsia="en-US"/>
    </w:rPr>
  </w:style>
  <w:style w:type="paragraph" w:customStyle="1" w:styleId="ZA">
    <w:name w:val="ZA"/>
    <w:rsid w:val="00E1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0F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0F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0F92"/>
  </w:style>
  <w:style w:type="paragraph" w:customStyle="1" w:styleId="ZH">
    <w:name w:val="ZH"/>
    <w:rsid w:val="00E10F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0F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0F92"/>
    <w:pPr>
      <w:framePr w:hRule="auto" w:wrap="notBeside" w:y="852"/>
    </w:pPr>
    <w:rPr>
      <w:i w:val="0"/>
      <w:sz w:val="40"/>
    </w:rPr>
  </w:style>
  <w:style w:type="paragraph" w:customStyle="1" w:styleId="ZU">
    <w:name w:val="ZU"/>
    <w:rsid w:val="00E1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0F92"/>
    <w:pPr>
      <w:framePr w:wrap="notBeside" w:y="16161"/>
    </w:pPr>
  </w:style>
  <w:style w:type="paragraph" w:customStyle="1" w:styleId="FP">
    <w:name w:val="FP"/>
    <w:basedOn w:val="Normal"/>
    <w:rsid w:val="00E10F92"/>
    <w:pPr>
      <w:spacing w:after="0"/>
      <w:jc w:val="left"/>
    </w:pPr>
    <w:rPr>
      <w:lang w:eastAsia="en-US"/>
    </w:rPr>
  </w:style>
  <w:style w:type="paragraph" w:customStyle="1" w:styleId="Doc-text2">
    <w:name w:val="Doc-text2"/>
    <w:basedOn w:val="Normal"/>
    <w:link w:val="Doc-text2Char"/>
    <w:qFormat/>
    <w:rsid w:val="00176171"/>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TableofFigures">
    <w:name w:val="table of figures"/>
    <w:basedOn w:val="Normal"/>
    <w:next w:val="Normal"/>
    <w:semiHidden/>
    <w:rsid w:val="00E10F92"/>
    <w:pPr>
      <w:ind w:left="1418" w:hanging="1418"/>
      <w:jc w:val="left"/>
    </w:pPr>
    <w:rPr>
      <w:b/>
    </w:rPr>
  </w:style>
  <w:style w:type="character" w:customStyle="1" w:styleId="Doc-text2Char">
    <w:name w:val="Doc-text2 Char"/>
    <w:link w:val="Doc-text2"/>
    <w:rsid w:val="00176171"/>
    <w:rPr>
      <w:rFonts w:ascii="Arial" w:eastAsia="MS Mincho" w:hAnsi="Arial"/>
      <w:szCs w:val="24"/>
      <w:lang w:val="en-GB" w:eastAsia="en-GB"/>
    </w:rPr>
  </w:style>
  <w:style w:type="paragraph" w:customStyle="1" w:styleId="Doc-title">
    <w:name w:val="Doc-title"/>
    <w:basedOn w:val="Normal"/>
    <w:next w:val="Doc-text2"/>
    <w:link w:val="Doc-titleChar"/>
    <w:qFormat/>
    <w:rsid w:val="00176171"/>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176171"/>
    <w:rPr>
      <w:rFonts w:ascii="Arial" w:eastAsia="MS Mincho" w:hAnsi="Arial"/>
      <w:szCs w:val="24"/>
      <w:lang w:val="en-GB" w:eastAsia="en-GB"/>
    </w:rPr>
  </w:style>
  <w:style w:type="character" w:customStyle="1" w:styleId="CommentTextChar">
    <w:name w:val="Comment Text Char"/>
    <w:link w:val="CommentText"/>
    <w:uiPriority w:val="99"/>
    <w:semiHidden/>
    <w:rsid w:val="009409E1"/>
    <w:rPr>
      <w:rFonts w:ascii="Arial" w:hAnsi="Arial"/>
      <w:lang w:val="en-GB" w:eastAsia="zh-CN"/>
    </w:rPr>
  </w:style>
  <w:style w:type="table" w:styleId="TableGrid">
    <w:name w:val="Table Grid"/>
    <w:basedOn w:val="TableNormal"/>
    <w:rsid w:val="00E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F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0F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0F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0F92"/>
    <w:pPr>
      <w:numPr>
        <w:ilvl w:val="2"/>
      </w:numPr>
      <w:spacing w:before="120"/>
      <w:outlineLvl w:val="2"/>
    </w:pPr>
    <w:rPr>
      <w:sz w:val="28"/>
      <w:szCs w:val="28"/>
    </w:rPr>
  </w:style>
  <w:style w:type="paragraph" w:styleId="Heading4">
    <w:name w:val="heading 4"/>
    <w:basedOn w:val="Heading3"/>
    <w:next w:val="Normal"/>
    <w:qFormat/>
    <w:rsid w:val="00E10F92"/>
    <w:pPr>
      <w:numPr>
        <w:ilvl w:val="3"/>
      </w:numPr>
      <w:outlineLvl w:val="3"/>
    </w:pPr>
    <w:rPr>
      <w:sz w:val="24"/>
      <w:szCs w:val="24"/>
    </w:rPr>
  </w:style>
  <w:style w:type="paragraph" w:styleId="Heading5">
    <w:name w:val="heading 5"/>
    <w:basedOn w:val="Heading4"/>
    <w:next w:val="Normal"/>
    <w:qFormat/>
    <w:rsid w:val="00E10F92"/>
    <w:pPr>
      <w:numPr>
        <w:ilvl w:val="4"/>
      </w:numPr>
      <w:outlineLvl w:val="4"/>
    </w:pPr>
    <w:rPr>
      <w:sz w:val="22"/>
      <w:szCs w:val="22"/>
    </w:rPr>
  </w:style>
  <w:style w:type="paragraph" w:styleId="Heading6">
    <w:name w:val="heading 6"/>
    <w:basedOn w:val="Normal"/>
    <w:next w:val="Normal"/>
    <w:qFormat/>
    <w:rsid w:val="00E10F92"/>
    <w:pPr>
      <w:keepNext/>
      <w:keepLines/>
      <w:numPr>
        <w:ilvl w:val="5"/>
        <w:numId w:val="1"/>
      </w:numPr>
      <w:spacing w:before="120"/>
      <w:outlineLvl w:val="5"/>
    </w:pPr>
    <w:rPr>
      <w:rFonts w:cs="Arial"/>
    </w:rPr>
  </w:style>
  <w:style w:type="paragraph" w:styleId="Heading7">
    <w:name w:val="heading 7"/>
    <w:basedOn w:val="Normal"/>
    <w:next w:val="Normal"/>
    <w:qFormat/>
    <w:rsid w:val="00E10F92"/>
    <w:pPr>
      <w:keepNext/>
      <w:keepLines/>
      <w:numPr>
        <w:ilvl w:val="6"/>
        <w:numId w:val="1"/>
      </w:numPr>
      <w:spacing w:before="120"/>
      <w:outlineLvl w:val="6"/>
    </w:pPr>
    <w:rPr>
      <w:rFonts w:cs="Arial"/>
    </w:rPr>
  </w:style>
  <w:style w:type="paragraph" w:styleId="Heading8">
    <w:name w:val="heading 8"/>
    <w:basedOn w:val="Heading7"/>
    <w:next w:val="Normal"/>
    <w:qFormat/>
    <w:rsid w:val="00E10F92"/>
    <w:pPr>
      <w:numPr>
        <w:ilvl w:val="7"/>
      </w:numPr>
      <w:outlineLvl w:val="7"/>
    </w:pPr>
  </w:style>
  <w:style w:type="paragraph" w:styleId="Heading9">
    <w:name w:val="heading 9"/>
    <w:basedOn w:val="Heading8"/>
    <w:next w:val="Normal"/>
    <w:qFormat/>
    <w:rsid w:val="00E10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0F92"/>
    <w:pPr>
      <w:spacing w:before="180"/>
      <w:ind w:left="2693" w:hanging="2693"/>
    </w:pPr>
    <w:rPr>
      <w:b/>
      <w:bCs/>
    </w:rPr>
  </w:style>
  <w:style w:type="paragraph" w:styleId="TOC1">
    <w:name w:val="toc 1"/>
    <w:semiHidden/>
    <w:rsid w:val="00E1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E10F92"/>
    <w:pPr>
      <w:keepNext/>
      <w:keepLines/>
      <w:spacing w:before="180"/>
      <w:jc w:val="center"/>
    </w:pPr>
  </w:style>
  <w:style w:type="paragraph" w:styleId="Caption">
    <w:name w:val="caption"/>
    <w:basedOn w:val="Normal"/>
    <w:next w:val="Normal"/>
    <w:qFormat/>
    <w:rsid w:val="00E10F92"/>
    <w:pPr>
      <w:spacing w:after="240"/>
      <w:jc w:val="center"/>
    </w:pPr>
    <w:rPr>
      <w:b/>
      <w:bCs/>
    </w:rPr>
  </w:style>
  <w:style w:type="paragraph" w:styleId="TOC5">
    <w:name w:val="toc 5"/>
    <w:basedOn w:val="TOC4"/>
    <w:semiHidden/>
    <w:rsid w:val="00E10F92"/>
    <w:pPr>
      <w:ind w:left="1701" w:hanging="1701"/>
    </w:pPr>
  </w:style>
  <w:style w:type="paragraph" w:styleId="TOC4">
    <w:name w:val="toc 4"/>
    <w:basedOn w:val="TOC3"/>
    <w:semiHidden/>
    <w:rsid w:val="00E10F92"/>
    <w:pPr>
      <w:ind w:left="1418" w:hanging="1418"/>
    </w:pPr>
  </w:style>
  <w:style w:type="paragraph" w:styleId="TOC3">
    <w:name w:val="toc 3"/>
    <w:basedOn w:val="TOC2"/>
    <w:semiHidden/>
    <w:rsid w:val="00E10F92"/>
    <w:pPr>
      <w:ind w:left="1134" w:hanging="1134"/>
    </w:pPr>
  </w:style>
  <w:style w:type="paragraph" w:styleId="TOC2">
    <w:name w:val="toc 2"/>
    <w:basedOn w:val="TOC1"/>
    <w:semiHidden/>
    <w:rsid w:val="00E10F92"/>
    <w:pPr>
      <w:keepNext w:val="0"/>
      <w:spacing w:before="0"/>
      <w:ind w:left="851" w:hanging="851"/>
    </w:pPr>
    <w:rPr>
      <w:sz w:val="20"/>
      <w:szCs w:val="20"/>
    </w:rPr>
  </w:style>
  <w:style w:type="paragraph" w:styleId="Index2">
    <w:name w:val="index 2"/>
    <w:basedOn w:val="Index1"/>
    <w:semiHidden/>
    <w:rsid w:val="00E10F92"/>
    <w:pPr>
      <w:ind w:left="284"/>
    </w:pPr>
  </w:style>
  <w:style w:type="paragraph" w:styleId="Index1">
    <w:name w:val="index 1"/>
    <w:basedOn w:val="Normal"/>
    <w:semiHidden/>
    <w:rsid w:val="00E10F92"/>
    <w:pPr>
      <w:keepLines/>
      <w:spacing w:after="0"/>
    </w:pPr>
  </w:style>
  <w:style w:type="paragraph" w:styleId="DocumentMap">
    <w:name w:val="Document Map"/>
    <w:basedOn w:val="Normal"/>
    <w:semiHidden/>
    <w:rsid w:val="00E10F92"/>
    <w:pPr>
      <w:shd w:val="clear" w:color="auto" w:fill="000080"/>
    </w:pPr>
    <w:rPr>
      <w:rFonts w:ascii="Tahoma" w:hAnsi="Tahoma" w:cs="Tahoma"/>
    </w:rPr>
  </w:style>
  <w:style w:type="paragraph" w:styleId="ListNumber2">
    <w:name w:val="List Number 2"/>
    <w:basedOn w:val="ListNumber"/>
    <w:rsid w:val="00E10F92"/>
    <w:pPr>
      <w:ind w:left="851"/>
    </w:pPr>
  </w:style>
  <w:style w:type="paragraph" w:styleId="ListNumber">
    <w:name w:val="List Number"/>
    <w:basedOn w:val="List"/>
    <w:rsid w:val="00E10F92"/>
  </w:style>
  <w:style w:type="paragraph" w:styleId="List">
    <w:name w:val="List"/>
    <w:basedOn w:val="Normal"/>
    <w:rsid w:val="00E10F92"/>
    <w:pPr>
      <w:ind w:left="568" w:hanging="284"/>
    </w:pPr>
  </w:style>
  <w:style w:type="paragraph" w:styleId="Header">
    <w:name w:val="header"/>
    <w:rsid w:val="00E10F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0F92"/>
    <w:rPr>
      <w:b/>
      <w:bCs/>
      <w:position w:val="6"/>
      <w:sz w:val="16"/>
      <w:szCs w:val="16"/>
    </w:rPr>
  </w:style>
  <w:style w:type="paragraph" w:styleId="FootnoteText">
    <w:name w:val="footnote text"/>
    <w:basedOn w:val="Normal"/>
    <w:semiHidden/>
    <w:rsid w:val="00E10F92"/>
    <w:pPr>
      <w:keepLines/>
      <w:spacing w:after="0"/>
      <w:ind w:left="454" w:hanging="454"/>
    </w:pPr>
    <w:rPr>
      <w:sz w:val="16"/>
      <w:szCs w:val="16"/>
    </w:rPr>
  </w:style>
  <w:style w:type="paragraph" w:customStyle="1" w:styleId="3GPPHeader">
    <w:name w:val="3GPP_Header"/>
    <w:basedOn w:val="Normal"/>
    <w:rsid w:val="00E10F92"/>
    <w:pPr>
      <w:tabs>
        <w:tab w:val="left" w:pos="1701"/>
        <w:tab w:val="right" w:pos="9639"/>
      </w:tabs>
      <w:spacing w:after="240"/>
    </w:pPr>
    <w:rPr>
      <w:b/>
      <w:sz w:val="24"/>
    </w:rPr>
  </w:style>
  <w:style w:type="paragraph" w:styleId="TOC9">
    <w:name w:val="toc 9"/>
    <w:basedOn w:val="TOC8"/>
    <w:semiHidden/>
    <w:rsid w:val="00E10F92"/>
    <w:pPr>
      <w:ind w:left="1418" w:hanging="1418"/>
    </w:pPr>
  </w:style>
  <w:style w:type="paragraph" w:styleId="TOC6">
    <w:name w:val="toc 6"/>
    <w:basedOn w:val="TOC5"/>
    <w:next w:val="Normal"/>
    <w:semiHidden/>
    <w:rsid w:val="00E10F92"/>
    <w:pPr>
      <w:ind w:left="1985" w:hanging="1985"/>
    </w:pPr>
  </w:style>
  <w:style w:type="paragraph" w:styleId="TOC7">
    <w:name w:val="toc 7"/>
    <w:basedOn w:val="TOC6"/>
    <w:next w:val="Normal"/>
    <w:semiHidden/>
    <w:rsid w:val="00E10F92"/>
    <w:pPr>
      <w:ind w:left="2268" w:hanging="2268"/>
    </w:pPr>
  </w:style>
  <w:style w:type="paragraph" w:styleId="ListBullet2">
    <w:name w:val="List Bullet 2"/>
    <w:basedOn w:val="ListBullet"/>
    <w:rsid w:val="00E10F92"/>
    <w:pPr>
      <w:numPr>
        <w:numId w:val="6"/>
      </w:numPr>
    </w:pPr>
  </w:style>
  <w:style w:type="paragraph" w:styleId="ListBullet">
    <w:name w:val="List Bullet"/>
    <w:basedOn w:val="BodyText"/>
    <w:rsid w:val="00E10F92"/>
    <w:pPr>
      <w:numPr>
        <w:numId w:val="5"/>
      </w:numPr>
    </w:pPr>
  </w:style>
  <w:style w:type="paragraph" w:styleId="ListBullet3">
    <w:name w:val="List Bullet 3"/>
    <w:basedOn w:val="ListBullet2"/>
    <w:rsid w:val="00E10F92"/>
    <w:pPr>
      <w:numPr>
        <w:numId w:val="7"/>
      </w:numPr>
    </w:pPr>
  </w:style>
  <w:style w:type="paragraph" w:customStyle="1" w:styleId="EQ">
    <w:name w:val="EQ"/>
    <w:basedOn w:val="Normal"/>
    <w:next w:val="Normal"/>
    <w:rsid w:val="00E10F92"/>
    <w:pPr>
      <w:keepLines/>
      <w:tabs>
        <w:tab w:val="center" w:pos="4536"/>
        <w:tab w:val="right" w:pos="9072"/>
      </w:tabs>
      <w:spacing w:after="180"/>
      <w:jc w:val="left"/>
    </w:pPr>
    <w:rPr>
      <w:noProof/>
      <w:lang w:eastAsia="en-US"/>
    </w:rPr>
  </w:style>
  <w:style w:type="paragraph" w:styleId="List2">
    <w:name w:val="List 2"/>
    <w:basedOn w:val="List"/>
    <w:rsid w:val="00E10F92"/>
    <w:pPr>
      <w:ind w:left="851"/>
    </w:pPr>
  </w:style>
  <w:style w:type="paragraph" w:styleId="List3">
    <w:name w:val="List 3"/>
    <w:basedOn w:val="List2"/>
    <w:rsid w:val="00E10F92"/>
    <w:pPr>
      <w:ind w:left="1135"/>
    </w:pPr>
  </w:style>
  <w:style w:type="paragraph" w:styleId="List4">
    <w:name w:val="List 4"/>
    <w:basedOn w:val="List3"/>
    <w:rsid w:val="00E10F92"/>
    <w:pPr>
      <w:ind w:left="1418"/>
    </w:pPr>
  </w:style>
  <w:style w:type="paragraph" w:styleId="List5">
    <w:name w:val="List 5"/>
    <w:basedOn w:val="List4"/>
    <w:rsid w:val="00E10F92"/>
    <w:pPr>
      <w:ind w:left="1702"/>
    </w:pPr>
  </w:style>
  <w:style w:type="paragraph" w:customStyle="1" w:styleId="EditorsNote">
    <w:name w:val="Editor's Note"/>
    <w:basedOn w:val="Normal"/>
    <w:rsid w:val="00E10F92"/>
    <w:pPr>
      <w:keepLines/>
      <w:spacing w:after="180"/>
      <w:ind w:left="1135" w:hanging="851"/>
      <w:jc w:val="left"/>
    </w:pPr>
    <w:rPr>
      <w:color w:val="FF0000"/>
      <w:lang w:eastAsia="en-US"/>
    </w:rPr>
  </w:style>
  <w:style w:type="paragraph" w:styleId="ListBullet4">
    <w:name w:val="List Bullet 4"/>
    <w:basedOn w:val="ListBullet3"/>
    <w:rsid w:val="00E10F92"/>
    <w:pPr>
      <w:numPr>
        <w:numId w:val="8"/>
      </w:numPr>
    </w:pPr>
  </w:style>
  <w:style w:type="paragraph" w:styleId="ListBullet5">
    <w:name w:val="List Bullet 5"/>
    <w:basedOn w:val="ListBullet4"/>
    <w:rsid w:val="00E10F92"/>
    <w:pPr>
      <w:numPr>
        <w:numId w:val="4"/>
      </w:numPr>
    </w:pPr>
  </w:style>
  <w:style w:type="paragraph" w:styleId="Footer">
    <w:name w:val="footer"/>
    <w:basedOn w:val="Header"/>
    <w:semiHidden/>
    <w:rsid w:val="00E10F92"/>
    <w:pPr>
      <w:jc w:val="center"/>
    </w:pPr>
    <w:rPr>
      <w:i/>
      <w:iCs/>
    </w:rPr>
  </w:style>
  <w:style w:type="paragraph" w:customStyle="1" w:styleId="Reference">
    <w:name w:val="Reference"/>
    <w:basedOn w:val="Normal"/>
    <w:rsid w:val="00E10F92"/>
    <w:pPr>
      <w:numPr>
        <w:numId w:val="2"/>
      </w:numPr>
    </w:pPr>
  </w:style>
  <w:style w:type="paragraph" w:styleId="BalloonText">
    <w:name w:val="Balloon Text"/>
    <w:basedOn w:val="Normal"/>
    <w:semiHidden/>
    <w:rsid w:val="00E10F92"/>
    <w:rPr>
      <w:rFonts w:ascii="Tahoma" w:hAnsi="Tahoma" w:cs="Tahoma"/>
      <w:sz w:val="16"/>
      <w:szCs w:val="16"/>
    </w:rPr>
  </w:style>
  <w:style w:type="character" w:styleId="PageNumber">
    <w:name w:val="page number"/>
    <w:semiHidden/>
    <w:rsid w:val="00E10F92"/>
  </w:style>
  <w:style w:type="paragraph" w:styleId="BodyText">
    <w:name w:val="Body Text"/>
    <w:basedOn w:val="Normal"/>
    <w:link w:val="BodyTextChar"/>
    <w:rsid w:val="00E10F92"/>
  </w:style>
  <w:style w:type="character" w:styleId="Hyperlink">
    <w:name w:val="Hyperlink"/>
    <w:rsid w:val="00E10F92"/>
    <w:rPr>
      <w:color w:val="0000FF"/>
      <w:u w:val="single"/>
    </w:rPr>
  </w:style>
  <w:style w:type="character" w:styleId="FollowedHyperlink">
    <w:name w:val="FollowedHyperlink"/>
    <w:semiHidden/>
    <w:rsid w:val="00E10F92"/>
    <w:rPr>
      <w:color w:val="FF0000"/>
      <w:u w:val="single"/>
    </w:rPr>
  </w:style>
  <w:style w:type="character" w:styleId="CommentReference">
    <w:name w:val="annotation reference"/>
    <w:uiPriority w:val="99"/>
    <w:semiHidden/>
    <w:rsid w:val="00E10F92"/>
    <w:rPr>
      <w:sz w:val="16"/>
      <w:szCs w:val="16"/>
    </w:rPr>
  </w:style>
  <w:style w:type="paragraph" w:styleId="CommentText">
    <w:name w:val="annotation text"/>
    <w:basedOn w:val="Normal"/>
    <w:link w:val="CommentTextChar"/>
    <w:uiPriority w:val="99"/>
    <w:semiHidden/>
    <w:rsid w:val="00E10F92"/>
  </w:style>
  <w:style w:type="paragraph" w:styleId="CommentSubject">
    <w:name w:val="annotation subject"/>
    <w:basedOn w:val="CommentText"/>
    <w:next w:val="CommentText"/>
    <w:semiHidden/>
    <w:rsid w:val="00E10F92"/>
    <w:rPr>
      <w:b/>
      <w:bCs/>
    </w:rPr>
  </w:style>
  <w:style w:type="character" w:customStyle="1" w:styleId="Heading1Char">
    <w:name w:val="Heading 1 Char"/>
    <w:link w:val="Heading1"/>
    <w:rsid w:val="00E10F92"/>
    <w:rPr>
      <w:rFonts w:ascii="Arial" w:hAnsi="Arial" w:cs="Arial"/>
      <w:sz w:val="36"/>
      <w:szCs w:val="36"/>
      <w:lang w:val="en-GB" w:eastAsia="zh-CN"/>
    </w:rPr>
  </w:style>
  <w:style w:type="paragraph" w:customStyle="1" w:styleId="B1">
    <w:name w:val="B1"/>
    <w:basedOn w:val="List"/>
    <w:rsid w:val="00E10F92"/>
    <w:pPr>
      <w:spacing w:after="180"/>
      <w:jc w:val="left"/>
    </w:pPr>
    <w:rPr>
      <w:lang w:eastAsia="en-US"/>
    </w:rPr>
  </w:style>
  <w:style w:type="paragraph" w:customStyle="1" w:styleId="B2">
    <w:name w:val="B2"/>
    <w:basedOn w:val="List2"/>
    <w:rsid w:val="00E10F92"/>
    <w:pPr>
      <w:spacing w:after="180"/>
      <w:jc w:val="left"/>
    </w:pPr>
    <w:rPr>
      <w:lang w:eastAsia="en-US"/>
    </w:rPr>
  </w:style>
  <w:style w:type="paragraph" w:customStyle="1" w:styleId="B3">
    <w:name w:val="B3"/>
    <w:basedOn w:val="List3"/>
    <w:rsid w:val="00E10F92"/>
    <w:pPr>
      <w:spacing w:after="180"/>
      <w:jc w:val="left"/>
    </w:pPr>
    <w:rPr>
      <w:lang w:eastAsia="en-US"/>
    </w:rPr>
  </w:style>
  <w:style w:type="paragraph" w:customStyle="1" w:styleId="B4">
    <w:name w:val="B4"/>
    <w:basedOn w:val="List4"/>
    <w:rsid w:val="00E10F92"/>
    <w:pPr>
      <w:spacing w:after="180"/>
      <w:jc w:val="left"/>
    </w:pPr>
    <w:rPr>
      <w:lang w:eastAsia="en-US"/>
    </w:rPr>
  </w:style>
  <w:style w:type="paragraph" w:customStyle="1" w:styleId="Proposal">
    <w:name w:val="Proposal"/>
    <w:basedOn w:val="Normal"/>
    <w:rsid w:val="00E10F92"/>
    <w:pPr>
      <w:numPr>
        <w:numId w:val="3"/>
      </w:numPr>
    </w:pPr>
    <w:rPr>
      <w:b/>
      <w:bCs/>
      <w:lang w:val="en-US"/>
    </w:rPr>
  </w:style>
  <w:style w:type="character" w:customStyle="1" w:styleId="BodyTextChar">
    <w:name w:val="Body Text Char"/>
    <w:link w:val="BodyText"/>
    <w:rsid w:val="00E10F92"/>
    <w:rPr>
      <w:rFonts w:ascii="Arial" w:hAnsi="Arial"/>
      <w:lang w:val="en-GB" w:eastAsia="zh-CN"/>
    </w:rPr>
  </w:style>
  <w:style w:type="paragraph" w:customStyle="1" w:styleId="B5">
    <w:name w:val="B5"/>
    <w:basedOn w:val="List5"/>
    <w:rsid w:val="00E10F92"/>
    <w:pPr>
      <w:spacing w:after="180"/>
      <w:jc w:val="left"/>
    </w:pPr>
    <w:rPr>
      <w:lang w:eastAsia="en-US"/>
    </w:rPr>
  </w:style>
  <w:style w:type="paragraph" w:customStyle="1" w:styleId="EX">
    <w:name w:val="EX"/>
    <w:basedOn w:val="Normal"/>
    <w:rsid w:val="00E10F92"/>
    <w:pPr>
      <w:keepLines/>
      <w:spacing w:after="180"/>
      <w:ind w:left="1702" w:hanging="1418"/>
      <w:jc w:val="left"/>
    </w:pPr>
    <w:rPr>
      <w:lang w:eastAsia="en-US"/>
    </w:rPr>
  </w:style>
  <w:style w:type="paragraph" w:customStyle="1" w:styleId="EW">
    <w:name w:val="EW"/>
    <w:basedOn w:val="EX"/>
    <w:rsid w:val="00E10F92"/>
    <w:pPr>
      <w:spacing w:after="0"/>
    </w:pPr>
  </w:style>
  <w:style w:type="paragraph" w:customStyle="1" w:styleId="TAL">
    <w:name w:val="TAL"/>
    <w:basedOn w:val="Normal"/>
    <w:rsid w:val="00E10F92"/>
    <w:pPr>
      <w:keepNext/>
      <w:keepLines/>
      <w:spacing w:after="0"/>
      <w:jc w:val="left"/>
    </w:pPr>
    <w:rPr>
      <w:sz w:val="18"/>
      <w:lang w:eastAsia="en-US"/>
    </w:rPr>
  </w:style>
  <w:style w:type="paragraph" w:customStyle="1" w:styleId="TAC">
    <w:name w:val="TAC"/>
    <w:basedOn w:val="TAL"/>
    <w:rsid w:val="00E10F92"/>
    <w:pPr>
      <w:jc w:val="center"/>
    </w:pPr>
  </w:style>
  <w:style w:type="paragraph" w:customStyle="1" w:styleId="TAH">
    <w:name w:val="TAH"/>
    <w:basedOn w:val="TAC"/>
    <w:rsid w:val="00E10F92"/>
    <w:rPr>
      <w:b/>
    </w:rPr>
  </w:style>
  <w:style w:type="paragraph" w:customStyle="1" w:styleId="TAN">
    <w:name w:val="TAN"/>
    <w:basedOn w:val="TAL"/>
    <w:rsid w:val="00E10F92"/>
    <w:pPr>
      <w:ind w:left="851" w:hanging="851"/>
    </w:pPr>
  </w:style>
  <w:style w:type="paragraph" w:customStyle="1" w:styleId="TAR">
    <w:name w:val="TAR"/>
    <w:basedOn w:val="TAL"/>
    <w:rsid w:val="00E10F92"/>
    <w:pPr>
      <w:jc w:val="right"/>
    </w:pPr>
  </w:style>
  <w:style w:type="paragraph" w:customStyle="1" w:styleId="TH">
    <w:name w:val="TH"/>
    <w:basedOn w:val="Normal"/>
    <w:rsid w:val="00E10F92"/>
    <w:pPr>
      <w:keepNext/>
      <w:keepLines/>
      <w:spacing w:before="60" w:after="180"/>
      <w:jc w:val="center"/>
    </w:pPr>
    <w:rPr>
      <w:b/>
      <w:lang w:eastAsia="en-US"/>
    </w:rPr>
  </w:style>
  <w:style w:type="paragraph" w:customStyle="1" w:styleId="TF">
    <w:name w:val="TF"/>
    <w:basedOn w:val="TH"/>
    <w:rsid w:val="00E10F92"/>
    <w:pPr>
      <w:keepNext w:val="0"/>
      <w:spacing w:before="0" w:after="240"/>
    </w:pPr>
  </w:style>
  <w:style w:type="paragraph" w:customStyle="1" w:styleId="TT">
    <w:name w:val="TT"/>
    <w:basedOn w:val="Heading1"/>
    <w:next w:val="Normal"/>
    <w:rsid w:val="00E10F92"/>
    <w:pPr>
      <w:numPr>
        <w:numId w:val="0"/>
      </w:numPr>
      <w:ind w:left="1134" w:hanging="1134"/>
      <w:outlineLvl w:val="9"/>
    </w:pPr>
    <w:rPr>
      <w:rFonts w:cs="Times New Roman"/>
      <w:szCs w:val="20"/>
      <w:lang w:eastAsia="en-US"/>
    </w:rPr>
  </w:style>
  <w:style w:type="paragraph" w:customStyle="1" w:styleId="ZA">
    <w:name w:val="ZA"/>
    <w:rsid w:val="00E1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0F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0F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0F92"/>
  </w:style>
  <w:style w:type="paragraph" w:customStyle="1" w:styleId="ZH">
    <w:name w:val="ZH"/>
    <w:rsid w:val="00E10F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0F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0F92"/>
    <w:pPr>
      <w:framePr w:hRule="auto" w:wrap="notBeside" w:y="852"/>
    </w:pPr>
    <w:rPr>
      <w:i w:val="0"/>
      <w:sz w:val="40"/>
    </w:rPr>
  </w:style>
  <w:style w:type="paragraph" w:customStyle="1" w:styleId="ZU">
    <w:name w:val="ZU"/>
    <w:rsid w:val="00E1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0F92"/>
    <w:pPr>
      <w:framePr w:wrap="notBeside" w:y="16161"/>
    </w:pPr>
  </w:style>
  <w:style w:type="paragraph" w:customStyle="1" w:styleId="FP">
    <w:name w:val="FP"/>
    <w:basedOn w:val="Normal"/>
    <w:rsid w:val="00E10F92"/>
    <w:pPr>
      <w:spacing w:after="0"/>
      <w:jc w:val="left"/>
    </w:pPr>
    <w:rPr>
      <w:lang w:eastAsia="en-US"/>
    </w:rPr>
  </w:style>
  <w:style w:type="paragraph" w:customStyle="1" w:styleId="Doc-text2">
    <w:name w:val="Doc-text2"/>
    <w:basedOn w:val="Normal"/>
    <w:link w:val="Doc-text2Char"/>
    <w:qFormat/>
    <w:rsid w:val="00176171"/>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TableofFigures">
    <w:name w:val="table of figures"/>
    <w:basedOn w:val="Normal"/>
    <w:next w:val="Normal"/>
    <w:semiHidden/>
    <w:rsid w:val="00E10F92"/>
    <w:pPr>
      <w:ind w:left="1418" w:hanging="1418"/>
      <w:jc w:val="left"/>
    </w:pPr>
    <w:rPr>
      <w:b/>
    </w:rPr>
  </w:style>
  <w:style w:type="character" w:customStyle="1" w:styleId="Doc-text2Char">
    <w:name w:val="Doc-text2 Char"/>
    <w:link w:val="Doc-text2"/>
    <w:rsid w:val="00176171"/>
    <w:rPr>
      <w:rFonts w:ascii="Arial" w:eastAsia="MS Mincho" w:hAnsi="Arial"/>
      <w:szCs w:val="24"/>
      <w:lang w:val="en-GB" w:eastAsia="en-GB"/>
    </w:rPr>
  </w:style>
  <w:style w:type="paragraph" w:customStyle="1" w:styleId="Doc-title">
    <w:name w:val="Doc-title"/>
    <w:basedOn w:val="Normal"/>
    <w:next w:val="Doc-text2"/>
    <w:link w:val="Doc-titleChar"/>
    <w:qFormat/>
    <w:rsid w:val="00176171"/>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176171"/>
    <w:rPr>
      <w:rFonts w:ascii="Arial" w:eastAsia="MS Mincho" w:hAnsi="Arial"/>
      <w:szCs w:val="24"/>
      <w:lang w:val="en-GB" w:eastAsia="en-GB"/>
    </w:rPr>
  </w:style>
  <w:style w:type="character" w:customStyle="1" w:styleId="CommentTextChar">
    <w:name w:val="Comment Text Char"/>
    <w:link w:val="CommentText"/>
    <w:uiPriority w:val="99"/>
    <w:semiHidden/>
    <w:rsid w:val="009409E1"/>
    <w:rPr>
      <w:rFonts w:ascii="Arial" w:hAnsi="Arial"/>
      <w:lang w:val="en-GB" w:eastAsia="zh-CN"/>
    </w:rPr>
  </w:style>
  <w:style w:type="table" w:styleId="TableGrid">
    <w:name w:val="Table Grid"/>
    <w:basedOn w:val="TableNormal"/>
    <w:rsid w:val="00E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963647">
      <w:bodyDiv w:val="1"/>
      <w:marLeft w:val="0"/>
      <w:marRight w:val="0"/>
      <w:marTop w:val="0"/>
      <w:marBottom w:val="0"/>
      <w:divBdr>
        <w:top w:val="none" w:sz="0" w:space="0" w:color="auto"/>
        <w:left w:val="none" w:sz="0" w:space="0" w:color="auto"/>
        <w:bottom w:val="none" w:sz="0" w:space="0" w:color="auto"/>
        <w:right w:val="none" w:sz="0" w:space="0" w:color="auto"/>
      </w:divBdr>
    </w:div>
    <w:div w:id="495389868">
      <w:bodyDiv w:val="1"/>
      <w:marLeft w:val="0"/>
      <w:marRight w:val="0"/>
      <w:marTop w:val="0"/>
      <w:marBottom w:val="0"/>
      <w:divBdr>
        <w:top w:val="none" w:sz="0" w:space="0" w:color="auto"/>
        <w:left w:val="none" w:sz="0" w:space="0" w:color="auto"/>
        <w:bottom w:val="none" w:sz="0" w:space="0" w:color="auto"/>
        <w:right w:val="none" w:sz="0" w:space="0" w:color="auto"/>
      </w:divBdr>
    </w:div>
    <w:div w:id="932056802">
      <w:bodyDiv w:val="1"/>
      <w:marLeft w:val="0"/>
      <w:marRight w:val="0"/>
      <w:marTop w:val="0"/>
      <w:marBottom w:val="0"/>
      <w:divBdr>
        <w:top w:val="none" w:sz="0" w:space="0" w:color="auto"/>
        <w:left w:val="none" w:sz="0" w:space="0" w:color="auto"/>
        <w:bottom w:val="none" w:sz="0" w:space="0" w:color="auto"/>
        <w:right w:val="none" w:sz="0" w:space="0" w:color="auto"/>
      </w:divBdr>
    </w:div>
    <w:div w:id="1058284041">
      <w:bodyDiv w:val="1"/>
      <w:marLeft w:val="0"/>
      <w:marRight w:val="0"/>
      <w:marTop w:val="0"/>
      <w:marBottom w:val="0"/>
      <w:divBdr>
        <w:top w:val="none" w:sz="0" w:space="0" w:color="auto"/>
        <w:left w:val="none" w:sz="0" w:space="0" w:color="auto"/>
        <w:bottom w:val="none" w:sz="0" w:space="0" w:color="auto"/>
        <w:right w:val="none" w:sz="0" w:space="0" w:color="auto"/>
      </w:divBdr>
    </w:div>
    <w:div w:id="1058894822">
      <w:bodyDiv w:val="1"/>
      <w:marLeft w:val="0"/>
      <w:marRight w:val="0"/>
      <w:marTop w:val="0"/>
      <w:marBottom w:val="0"/>
      <w:divBdr>
        <w:top w:val="none" w:sz="0" w:space="0" w:color="auto"/>
        <w:left w:val="none" w:sz="0" w:space="0" w:color="auto"/>
        <w:bottom w:val="none" w:sz="0" w:space="0" w:color="auto"/>
        <w:right w:val="none" w:sz="0" w:space="0" w:color="auto"/>
      </w:divBdr>
    </w:div>
    <w:div w:id="1194727752">
      <w:bodyDiv w:val="1"/>
      <w:marLeft w:val="0"/>
      <w:marRight w:val="0"/>
      <w:marTop w:val="0"/>
      <w:marBottom w:val="0"/>
      <w:divBdr>
        <w:top w:val="none" w:sz="0" w:space="0" w:color="auto"/>
        <w:left w:val="none" w:sz="0" w:space="0" w:color="auto"/>
        <w:bottom w:val="none" w:sz="0" w:space="0" w:color="auto"/>
        <w:right w:val="none" w:sz="0" w:space="0" w:color="auto"/>
      </w:divBdr>
    </w:div>
    <w:div w:id="1351450282">
      <w:bodyDiv w:val="1"/>
      <w:marLeft w:val="0"/>
      <w:marRight w:val="0"/>
      <w:marTop w:val="0"/>
      <w:marBottom w:val="0"/>
      <w:divBdr>
        <w:top w:val="none" w:sz="0" w:space="0" w:color="auto"/>
        <w:left w:val="none" w:sz="0" w:space="0" w:color="auto"/>
        <w:bottom w:val="none" w:sz="0" w:space="0" w:color="auto"/>
        <w:right w:val="none" w:sz="0" w:space="0" w:color="auto"/>
      </w:divBdr>
    </w:div>
    <w:div w:id="1565945626">
      <w:bodyDiv w:val="1"/>
      <w:marLeft w:val="0"/>
      <w:marRight w:val="0"/>
      <w:marTop w:val="0"/>
      <w:marBottom w:val="0"/>
      <w:divBdr>
        <w:top w:val="none" w:sz="0" w:space="0" w:color="auto"/>
        <w:left w:val="none" w:sz="0" w:space="0" w:color="auto"/>
        <w:bottom w:val="none" w:sz="0" w:space="0" w:color="auto"/>
        <w:right w:val="none" w:sz="0" w:space="0" w:color="auto"/>
      </w:divBdr>
    </w:div>
    <w:div w:id="1580288282">
      <w:bodyDiv w:val="1"/>
      <w:marLeft w:val="0"/>
      <w:marRight w:val="0"/>
      <w:marTop w:val="0"/>
      <w:marBottom w:val="0"/>
      <w:divBdr>
        <w:top w:val="none" w:sz="0" w:space="0" w:color="auto"/>
        <w:left w:val="none" w:sz="0" w:space="0" w:color="auto"/>
        <w:bottom w:val="none" w:sz="0" w:space="0" w:color="auto"/>
        <w:right w:val="none" w:sz="0" w:space="0" w:color="auto"/>
      </w:divBdr>
    </w:div>
    <w:div w:id="1650209821">
      <w:bodyDiv w:val="1"/>
      <w:marLeft w:val="0"/>
      <w:marRight w:val="0"/>
      <w:marTop w:val="0"/>
      <w:marBottom w:val="0"/>
      <w:divBdr>
        <w:top w:val="none" w:sz="0" w:space="0" w:color="auto"/>
        <w:left w:val="none" w:sz="0" w:space="0" w:color="auto"/>
        <w:bottom w:val="none" w:sz="0" w:space="0" w:color="auto"/>
        <w:right w:val="none" w:sz="0" w:space="0" w:color="auto"/>
      </w:divBdr>
    </w:div>
    <w:div w:id="199780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3_Barcelona\Email_discussion_TR\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8E4730ADBCB44CB35747A92E2876BB" ma:contentTypeVersion="0" ma:contentTypeDescription="Create a new document." ma:contentTypeScope="" ma:versionID="c5418cd38fff9a8e4c709f25ba0f2a8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524E9-63FE-4E30-8299-729E0187D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FD9887-1522-4359-84DC-D545817540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F12EA0-9EAD-4F22-B03C-65424274C60E}">
  <ds:schemaRefs>
    <ds:schemaRef ds:uri="http://schemas.microsoft.com/sharepoint/v3/contenttype/forms"/>
  </ds:schemaRefs>
</ds:datastoreItem>
</file>

<file path=customXml/itemProps4.xml><?xml version="1.0" encoding="utf-8"?>
<ds:datastoreItem xmlns:ds="http://schemas.openxmlformats.org/officeDocument/2006/customXml" ds:itemID="{FD17EB94-0F54-440E-A7DE-2ECAFF12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TotalTime>
  <Pages>2</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dc:creator>
  <cp:lastModifiedBy>Ravi</cp:lastModifiedBy>
  <cp:revision>6</cp:revision>
  <cp:lastPrinted>2008-01-31T15:09:00Z</cp:lastPrinted>
  <dcterms:created xsi:type="dcterms:W3CDTF">2014-03-22T02:58:00Z</dcterms:created>
  <dcterms:modified xsi:type="dcterms:W3CDTF">2014-05-10T06:09:00Z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-629387922</vt:i4>
  </property>
  <property fmtid="{D5CDD505-2E9C-101B-9397-08002B2CF9AE}" pid="4" name="_NewReviewCycle">
    <vt:lpwstr/>
  </property>
  <property fmtid="{D5CDD505-2E9C-101B-9397-08002B2CF9AE}" pid="5" name="_EmailSubject">
    <vt:lpwstr>TP on UL data compression ( was RE: Results for the UL data compression )</vt:lpwstr>
  </property>
  <property fmtid="{D5CDD505-2E9C-101B-9397-08002B2CF9AE}" pid="6" name="_AuthorEmail">
    <vt:lpwstr>venkatar@qti.qualcomm.com</vt:lpwstr>
  </property>
  <property fmtid="{D5CDD505-2E9C-101B-9397-08002B2CF9AE}" pid="7" name="_AuthorEmailDisplayName">
    <vt:lpwstr>Venkatachalam Jayara, Venkat</vt:lpwstr>
  </property>
  <property fmtid="{D5CDD505-2E9C-101B-9397-08002B2CF9AE}" pid="8" name="_ReviewingToolsShownOnce">
    <vt:lpwstr/>
  </property>
  <property fmtid="{D5CDD505-2E9C-101B-9397-08002B2CF9AE}" pid="9" name="ContentTypeId">
    <vt:lpwstr>0x0101005A8E4730ADBCB44CB35747A92E2876BB</vt:lpwstr>
  </property>
</Properties>
</file>